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F2E" w:rsidRPr="00471E06" w:rsidRDefault="00216C26">
      <w:pPr>
        <w:rPr>
          <w:rFonts w:ascii="Times New Roman" w:hAnsi="Times New Roman" w:cs="Times New Roman"/>
          <w:b/>
          <w:sz w:val="28"/>
          <w:szCs w:val="28"/>
        </w:rPr>
      </w:pPr>
      <w:r w:rsidRPr="00471E06">
        <w:rPr>
          <w:rFonts w:ascii="Times New Roman" w:hAnsi="Times New Roman" w:cs="Times New Roman"/>
          <w:b/>
          <w:sz w:val="28"/>
          <w:szCs w:val="28"/>
        </w:rPr>
        <w:t>Koncepce prorodinné politiky města Olomouce na roky 202</w:t>
      </w:r>
      <w:r w:rsidR="00A15A76">
        <w:rPr>
          <w:rFonts w:ascii="Times New Roman" w:hAnsi="Times New Roman" w:cs="Times New Roman"/>
          <w:b/>
          <w:sz w:val="28"/>
          <w:szCs w:val="28"/>
        </w:rPr>
        <w:t>6</w:t>
      </w:r>
      <w:r w:rsidRPr="00471E06">
        <w:rPr>
          <w:rFonts w:ascii="Times New Roman" w:hAnsi="Times New Roman" w:cs="Times New Roman"/>
          <w:b/>
          <w:sz w:val="28"/>
          <w:szCs w:val="28"/>
        </w:rPr>
        <w:t>-</w:t>
      </w:r>
      <w:r w:rsidR="00A15A76">
        <w:rPr>
          <w:rFonts w:ascii="Times New Roman" w:hAnsi="Times New Roman" w:cs="Times New Roman"/>
          <w:b/>
          <w:sz w:val="28"/>
          <w:szCs w:val="28"/>
        </w:rPr>
        <w:t>2028</w:t>
      </w:r>
    </w:p>
    <w:p w:rsidR="00216C26" w:rsidRPr="00471E06" w:rsidRDefault="00216C26" w:rsidP="00471E06">
      <w:pPr>
        <w:pStyle w:val="Nadpis1"/>
        <w:numPr>
          <w:ilvl w:val="0"/>
          <w:numId w:val="2"/>
        </w:numPr>
      </w:pPr>
      <w:r w:rsidRPr="00471E06">
        <w:t xml:space="preserve">Úvod </w:t>
      </w:r>
    </w:p>
    <w:p w:rsidR="0034377A" w:rsidRDefault="0034377A" w:rsidP="0034377A">
      <w:pPr>
        <w:spacing w:after="0"/>
        <w:rPr>
          <w:rFonts w:ascii="Times New Roman" w:hAnsi="Times New Roman" w:cs="Times New Roman"/>
          <w:sz w:val="24"/>
          <w:szCs w:val="24"/>
        </w:rPr>
      </w:pPr>
    </w:p>
    <w:p w:rsidR="00216C26" w:rsidRDefault="00216C26">
      <w:pPr>
        <w:rPr>
          <w:rFonts w:ascii="Times New Roman" w:hAnsi="Times New Roman" w:cs="Times New Roman"/>
          <w:sz w:val="24"/>
          <w:szCs w:val="24"/>
        </w:rPr>
      </w:pPr>
      <w:r>
        <w:rPr>
          <w:rFonts w:ascii="Times New Roman" w:hAnsi="Times New Roman" w:cs="Times New Roman"/>
          <w:sz w:val="24"/>
          <w:szCs w:val="24"/>
        </w:rPr>
        <w:t>Statutární město Olomouce se prorodinnou politikou systematicky zabývá již od roku 2014, za tu dobu byly zpracovány 4 koncepční dokumenty obsahující opatření vedoucí k podpoře příznivého klimatu ve městě. Na rozvoj prorodinné</w:t>
      </w:r>
      <w:r w:rsidR="00280EE0">
        <w:rPr>
          <w:rFonts w:ascii="Times New Roman" w:hAnsi="Times New Roman" w:cs="Times New Roman"/>
          <w:sz w:val="24"/>
          <w:szCs w:val="24"/>
        </w:rPr>
        <w:t xml:space="preserve"> politiky ve městě Olomouci měl</w:t>
      </w:r>
      <w:r>
        <w:rPr>
          <w:rFonts w:ascii="Times New Roman" w:hAnsi="Times New Roman" w:cs="Times New Roman"/>
          <w:sz w:val="24"/>
          <w:szCs w:val="24"/>
        </w:rPr>
        <w:t xml:space="preserve"> nemalý vliv opakovaný úspěch v celostátní soutěži vyhlašované MPSV </w:t>
      </w:r>
      <w:r w:rsidR="00680F0C">
        <w:rPr>
          <w:rFonts w:ascii="Times New Roman" w:hAnsi="Times New Roman" w:cs="Times New Roman"/>
          <w:sz w:val="24"/>
          <w:szCs w:val="24"/>
        </w:rPr>
        <w:t>„</w:t>
      </w:r>
      <w:r>
        <w:rPr>
          <w:rFonts w:ascii="Times New Roman" w:hAnsi="Times New Roman" w:cs="Times New Roman"/>
          <w:sz w:val="24"/>
          <w:szCs w:val="24"/>
        </w:rPr>
        <w:t>Obec přátelská rodině</w:t>
      </w:r>
      <w:r w:rsidR="00680F0C">
        <w:rPr>
          <w:rFonts w:ascii="Times New Roman" w:hAnsi="Times New Roman" w:cs="Times New Roman"/>
          <w:sz w:val="24"/>
          <w:szCs w:val="24"/>
        </w:rPr>
        <w:t>“</w:t>
      </w:r>
      <w:r>
        <w:rPr>
          <w:rFonts w:ascii="Times New Roman" w:hAnsi="Times New Roman" w:cs="Times New Roman"/>
          <w:sz w:val="24"/>
          <w:szCs w:val="24"/>
        </w:rPr>
        <w:t xml:space="preserve"> a následně i </w:t>
      </w:r>
      <w:r w:rsidR="00680F0C">
        <w:rPr>
          <w:rFonts w:ascii="Times New Roman" w:hAnsi="Times New Roman" w:cs="Times New Roman"/>
          <w:sz w:val="24"/>
          <w:szCs w:val="24"/>
        </w:rPr>
        <w:t>„</w:t>
      </w:r>
      <w:r>
        <w:rPr>
          <w:rFonts w:ascii="Times New Roman" w:hAnsi="Times New Roman" w:cs="Times New Roman"/>
          <w:sz w:val="24"/>
          <w:szCs w:val="24"/>
        </w:rPr>
        <w:t>Obec přátelská rodině a seniorům</w:t>
      </w:r>
      <w:r w:rsidR="00680F0C">
        <w:rPr>
          <w:rFonts w:ascii="Times New Roman" w:hAnsi="Times New Roman" w:cs="Times New Roman"/>
          <w:sz w:val="24"/>
          <w:szCs w:val="24"/>
        </w:rPr>
        <w:t>“</w:t>
      </w:r>
      <w:r>
        <w:rPr>
          <w:rFonts w:ascii="Times New Roman" w:hAnsi="Times New Roman" w:cs="Times New Roman"/>
          <w:sz w:val="24"/>
          <w:szCs w:val="24"/>
        </w:rPr>
        <w:t>.</w:t>
      </w:r>
    </w:p>
    <w:p w:rsidR="00216C26" w:rsidRPr="00216C26" w:rsidRDefault="00216C26" w:rsidP="00216C26">
      <w:pPr>
        <w:rPr>
          <w:rFonts w:ascii="Times New Roman" w:hAnsi="Times New Roman" w:cs="Times New Roman"/>
          <w:sz w:val="24"/>
          <w:szCs w:val="24"/>
        </w:rPr>
      </w:pPr>
      <w:r w:rsidRPr="00216C26">
        <w:rPr>
          <w:rFonts w:ascii="Times New Roman" w:hAnsi="Times New Roman" w:cs="Times New Roman"/>
          <w:sz w:val="24"/>
          <w:szCs w:val="24"/>
        </w:rPr>
        <w:t>Prorodinná politika města Olomouce má oporu ve Strategickém plánu rozvoje města Olomouce (pro období 2018-202</w:t>
      </w:r>
      <w:r>
        <w:rPr>
          <w:rFonts w:ascii="Times New Roman" w:hAnsi="Times New Roman" w:cs="Times New Roman"/>
          <w:sz w:val="24"/>
          <w:szCs w:val="24"/>
        </w:rPr>
        <w:t>5</w:t>
      </w:r>
      <w:r w:rsidRPr="00216C26">
        <w:rPr>
          <w:rFonts w:ascii="Times New Roman" w:hAnsi="Times New Roman" w:cs="Times New Roman"/>
          <w:sz w:val="24"/>
          <w:szCs w:val="24"/>
        </w:rPr>
        <w:t>) v rámci specifického cíle „4.5 Zajistit efektivní koordinaci sociálních a souvisejících služeb, podporovat prorodinná opatření“ a je i součástí vize města Olomouce, ve které se hovoří o tom, že město Olomouc v roce 2030 bude „Bezpečné a dopravně dostupné místo pro život bez bariér, město s rozvinutou sítí sociálních a zdravotních služeb a přátelské rodinám“</w:t>
      </w:r>
      <w:r w:rsidRPr="00216C26">
        <w:rPr>
          <w:rStyle w:val="Znakapoznpodarou"/>
          <w:rFonts w:ascii="Times New Roman" w:hAnsi="Times New Roman"/>
          <w:sz w:val="24"/>
          <w:szCs w:val="24"/>
        </w:rPr>
        <w:footnoteReference w:id="1"/>
      </w:r>
      <w:r w:rsidRPr="00216C26">
        <w:rPr>
          <w:rFonts w:ascii="Times New Roman" w:hAnsi="Times New Roman" w:cs="Times New Roman"/>
          <w:sz w:val="24"/>
          <w:szCs w:val="24"/>
        </w:rPr>
        <w:t xml:space="preserve">. Prorodinná politika má oporu i v Plánu udržitelné mobily města Olomouce (PUMMO), který je rovněž úzce spjat se Strategickým plánem rozvoje města Olomouce. PUMMO řeší </w:t>
      </w:r>
      <w:r w:rsidRPr="00216C26">
        <w:rPr>
          <w:rFonts w:ascii="Times New Roman" w:eastAsia="TimesNewRomanPSMT" w:hAnsi="Times New Roman" w:cs="Times New Roman"/>
          <w:sz w:val="24"/>
          <w:szCs w:val="24"/>
        </w:rPr>
        <w:t>zajištění udržitelnosti dopravy ve městě ve všech formách včetně řešení parkování a zlepšení bezpečnosti dopravy a bezbariérovosti ve městě”.</w:t>
      </w:r>
      <w:r w:rsidRPr="00216C26">
        <w:rPr>
          <w:rStyle w:val="Znakapoznpodarou"/>
          <w:rFonts w:ascii="Times New Roman" w:eastAsia="TimesNewRomanPSMT" w:hAnsi="Times New Roman"/>
          <w:sz w:val="24"/>
          <w:szCs w:val="24"/>
        </w:rPr>
        <w:footnoteReference w:id="2"/>
      </w:r>
      <w:r w:rsidRPr="00216C26">
        <w:rPr>
          <w:rFonts w:ascii="Times New Roman" w:eastAsia="TimesNewRomanPSMT" w:hAnsi="Times New Roman" w:cs="Times New Roman"/>
          <w:sz w:val="24"/>
          <w:szCs w:val="24"/>
        </w:rPr>
        <w:t xml:space="preserve"> Koncepce </w:t>
      </w:r>
      <w:r w:rsidR="00647826">
        <w:rPr>
          <w:rFonts w:ascii="Times New Roman" w:eastAsia="TimesNewRomanPSMT" w:hAnsi="Times New Roman" w:cs="Times New Roman"/>
          <w:sz w:val="24"/>
          <w:szCs w:val="24"/>
        </w:rPr>
        <w:t>pro</w:t>
      </w:r>
      <w:r w:rsidRPr="00216C26">
        <w:rPr>
          <w:rFonts w:ascii="Times New Roman" w:eastAsia="TimesNewRomanPSMT" w:hAnsi="Times New Roman" w:cs="Times New Roman"/>
          <w:sz w:val="24"/>
          <w:szCs w:val="24"/>
        </w:rPr>
        <w:t xml:space="preserve">rodinné politiky SMOl dále navazuje např. na Koncepci rozvoje školství SMOl na období 2021-2025, Koncepci SMOl v oblasti podpory sportu a pohybu na období 2021-2027, Generel cyklistické dopravy, </w:t>
      </w:r>
      <w:r>
        <w:rPr>
          <w:rFonts w:ascii="Times New Roman" w:eastAsia="TimesNewRomanPSMT" w:hAnsi="Times New Roman" w:cs="Times New Roman"/>
          <w:sz w:val="24"/>
          <w:szCs w:val="24"/>
        </w:rPr>
        <w:t>6</w:t>
      </w:r>
      <w:r w:rsidRPr="00216C26">
        <w:rPr>
          <w:rFonts w:ascii="Times New Roman" w:eastAsia="TimesNewRomanPSMT" w:hAnsi="Times New Roman" w:cs="Times New Roman"/>
          <w:sz w:val="24"/>
          <w:szCs w:val="24"/>
        </w:rPr>
        <w:t>. komunitní plán sociálních služeb Olomoucka na období let 202</w:t>
      </w:r>
      <w:r>
        <w:rPr>
          <w:rFonts w:ascii="Times New Roman" w:eastAsia="TimesNewRomanPSMT" w:hAnsi="Times New Roman" w:cs="Times New Roman"/>
          <w:sz w:val="24"/>
          <w:szCs w:val="24"/>
        </w:rPr>
        <w:t>3</w:t>
      </w:r>
      <w:r w:rsidRPr="00216C26">
        <w:rPr>
          <w:rFonts w:ascii="Times New Roman" w:eastAsia="TimesNewRomanPSMT" w:hAnsi="Times New Roman" w:cs="Times New Roman"/>
          <w:sz w:val="24"/>
          <w:szCs w:val="24"/>
        </w:rPr>
        <w:t>-202</w:t>
      </w:r>
      <w:r>
        <w:rPr>
          <w:rFonts w:ascii="Times New Roman" w:eastAsia="TimesNewRomanPSMT" w:hAnsi="Times New Roman" w:cs="Times New Roman"/>
          <w:sz w:val="24"/>
          <w:szCs w:val="24"/>
        </w:rPr>
        <w:t>5</w:t>
      </w:r>
      <w:r w:rsidRPr="00216C26">
        <w:rPr>
          <w:rStyle w:val="Znakapoznpodarou"/>
          <w:rFonts w:ascii="Times New Roman" w:eastAsia="TimesNewRomanPSMT" w:hAnsi="Times New Roman"/>
          <w:sz w:val="24"/>
          <w:szCs w:val="24"/>
        </w:rPr>
        <w:footnoteReference w:id="3"/>
      </w:r>
      <w:r w:rsidRPr="00216C26">
        <w:rPr>
          <w:rFonts w:ascii="Times New Roman" w:eastAsia="TimesNewRomanPSMT" w:hAnsi="Times New Roman" w:cs="Times New Roman"/>
          <w:sz w:val="24"/>
          <w:szCs w:val="24"/>
        </w:rPr>
        <w:t>.</w:t>
      </w:r>
      <w:r w:rsidR="00647826">
        <w:rPr>
          <w:rFonts w:ascii="Times New Roman" w:eastAsia="TimesNewRomanPSMT" w:hAnsi="Times New Roman" w:cs="Times New Roman"/>
          <w:sz w:val="24"/>
          <w:szCs w:val="24"/>
        </w:rPr>
        <w:t xml:space="preserve"> Koncepce prorodinné politiky duplicitn</w:t>
      </w:r>
      <w:r w:rsidR="009A3CD7">
        <w:rPr>
          <w:rFonts w:ascii="Times New Roman" w:eastAsia="TimesNewRomanPSMT" w:hAnsi="Times New Roman" w:cs="Times New Roman"/>
          <w:sz w:val="24"/>
          <w:szCs w:val="24"/>
        </w:rPr>
        <w:t>ě neuvádí cíle a opatření, které jsou již definovány</w:t>
      </w:r>
      <w:r w:rsidR="00647826">
        <w:rPr>
          <w:rFonts w:ascii="Times New Roman" w:eastAsia="TimesNewRomanPSMT" w:hAnsi="Times New Roman" w:cs="Times New Roman"/>
          <w:sz w:val="24"/>
          <w:szCs w:val="24"/>
        </w:rPr>
        <w:t xml:space="preserve"> zejména ve výše zmíněných dokumentech.</w:t>
      </w:r>
    </w:p>
    <w:p w:rsidR="00216C26" w:rsidRDefault="00216C26" w:rsidP="00216C26">
      <w:pPr>
        <w:rPr>
          <w:rFonts w:ascii="Times New Roman" w:hAnsi="Times New Roman" w:cs="Times New Roman"/>
          <w:sz w:val="24"/>
          <w:szCs w:val="24"/>
        </w:rPr>
      </w:pPr>
      <w:r w:rsidRPr="00216C26">
        <w:rPr>
          <w:rFonts w:ascii="Times New Roman" w:hAnsi="Times New Roman" w:cs="Times New Roman"/>
          <w:sz w:val="24"/>
          <w:szCs w:val="24"/>
        </w:rPr>
        <w:t xml:space="preserve">Prorodinná politika jako taková představuje souhrn aktivit a opatření na podporu celé rodiny. Jelikož se jedná o politiku průřezovou, která zasahuje do různých oblastí života, spolupracuje odbor sociálních věcí MMOl (nejen) při tvorbě koncepce prorodinné politiky vždy s odborníky z různých oblastí, kteří jsou součástí pracovní skupiny rodinné politiky. Vytvoření pracovní skupiny rodinné politiky bylo schváleno RMO dne 14. 4. 2015. Pracovní skupina je tvořena zástupci odboru sociálních věcí, odboru školství, odboru dopravy, odboru </w:t>
      </w:r>
      <w:r w:rsidR="00D80C26" w:rsidRPr="00216C26">
        <w:rPr>
          <w:rFonts w:ascii="Times New Roman" w:hAnsi="Times New Roman" w:cs="Times New Roman"/>
          <w:sz w:val="24"/>
          <w:szCs w:val="24"/>
        </w:rPr>
        <w:t xml:space="preserve">kultury </w:t>
      </w:r>
      <w:r w:rsidR="00D80C26">
        <w:rPr>
          <w:rFonts w:ascii="Times New Roman" w:hAnsi="Times New Roman" w:cs="Times New Roman"/>
          <w:sz w:val="24"/>
          <w:szCs w:val="24"/>
        </w:rPr>
        <w:t xml:space="preserve">a </w:t>
      </w:r>
      <w:r w:rsidRPr="00216C26">
        <w:rPr>
          <w:rFonts w:ascii="Times New Roman" w:hAnsi="Times New Roman" w:cs="Times New Roman"/>
          <w:sz w:val="24"/>
          <w:szCs w:val="24"/>
        </w:rPr>
        <w:t>cestovního ruchu, zástupc</w:t>
      </w:r>
      <w:r w:rsidR="009A3CD7">
        <w:rPr>
          <w:rFonts w:ascii="Times New Roman" w:hAnsi="Times New Roman" w:cs="Times New Roman"/>
          <w:sz w:val="24"/>
          <w:szCs w:val="24"/>
        </w:rPr>
        <w:t>i</w:t>
      </w:r>
      <w:r w:rsidRPr="00216C26">
        <w:rPr>
          <w:rFonts w:ascii="Times New Roman" w:hAnsi="Times New Roman" w:cs="Times New Roman"/>
          <w:sz w:val="24"/>
          <w:szCs w:val="24"/>
        </w:rPr>
        <w:t xml:space="preserve"> prorodinných neziskových organizací, zástupc</w:t>
      </w:r>
      <w:r w:rsidR="009A3CD7">
        <w:rPr>
          <w:rFonts w:ascii="Times New Roman" w:hAnsi="Times New Roman" w:cs="Times New Roman"/>
          <w:sz w:val="24"/>
          <w:szCs w:val="24"/>
        </w:rPr>
        <w:t>i</w:t>
      </w:r>
      <w:r w:rsidRPr="00216C26">
        <w:rPr>
          <w:rFonts w:ascii="Times New Roman" w:hAnsi="Times New Roman" w:cs="Times New Roman"/>
          <w:sz w:val="24"/>
          <w:szCs w:val="24"/>
        </w:rPr>
        <w:t xml:space="preserve"> Univerzity Palackého v Olomouci, </w:t>
      </w:r>
      <w:r w:rsidR="00D80C26">
        <w:rPr>
          <w:rFonts w:ascii="Times New Roman" w:hAnsi="Times New Roman" w:cs="Times New Roman"/>
          <w:sz w:val="24"/>
          <w:szCs w:val="24"/>
        </w:rPr>
        <w:t xml:space="preserve">Rady seniorů města Olomouce, </w:t>
      </w:r>
      <w:r w:rsidRPr="00216C26">
        <w:rPr>
          <w:rFonts w:ascii="Times New Roman" w:hAnsi="Times New Roman" w:cs="Times New Roman"/>
          <w:sz w:val="24"/>
          <w:szCs w:val="24"/>
        </w:rPr>
        <w:t xml:space="preserve">Krajského úřadu Olomouckého kraje a MPSV. Úkolem pracovní skupiny je sledovat a koordinovat plnění cílů a opatření Akčního plánu </w:t>
      </w:r>
      <w:r w:rsidR="00647826">
        <w:rPr>
          <w:rFonts w:ascii="Times New Roman" w:hAnsi="Times New Roman" w:cs="Times New Roman"/>
          <w:sz w:val="24"/>
          <w:szCs w:val="24"/>
        </w:rPr>
        <w:t>pro</w:t>
      </w:r>
      <w:r w:rsidRPr="00216C26">
        <w:rPr>
          <w:rFonts w:ascii="Times New Roman" w:hAnsi="Times New Roman" w:cs="Times New Roman"/>
          <w:sz w:val="24"/>
          <w:szCs w:val="24"/>
        </w:rPr>
        <w:t xml:space="preserve">rodinné politiky, spolupodílet se na tvorbě a vyhodnocování Akčního plánu </w:t>
      </w:r>
      <w:r w:rsidR="00647826">
        <w:rPr>
          <w:rFonts w:ascii="Times New Roman" w:hAnsi="Times New Roman" w:cs="Times New Roman"/>
          <w:sz w:val="24"/>
          <w:szCs w:val="24"/>
        </w:rPr>
        <w:t>pro</w:t>
      </w:r>
      <w:r w:rsidRPr="00216C26">
        <w:rPr>
          <w:rFonts w:ascii="Times New Roman" w:hAnsi="Times New Roman" w:cs="Times New Roman"/>
          <w:sz w:val="24"/>
          <w:szCs w:val="24"/>
        </w:rPr>
        <w:t xml:space="preserve">rodinné politiky SMOl, iniciovat diskusi o potřebách rodin ve městě Olomouci a navrhovat dlouhodobá koncepční i bezprostřední konkrétní opatření, která budou potřeby rodin uspokojovat.  </w:t>
      </w:r>
    </w:p>
    <w:p w:rsidR="0036671D" w:rsidRPr="0036671D" w:rsidRDefault="0036671D" w:rsidP="0036671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Další důležitou platformou prorodinné politiky je </w:t>
      </w:r>
      <w:r w:rsidRPr="0036671D">
        <w:rPr>
          <w:rFonts w:ascii="Times New Roman" w:hAnsi="Times New Roman" w:cs="Times New Roman"/>
          <w:sz w:val="24"/>
          <w:szCs w:val="24"/>
        </w:rPr>
        <w:t>Rad</w:t>
      </w:r>
      <w:r>
        <w:rPr>
          <w:rFonts w:ascii="Times New Roman" w:hAnsi="Times New Roman" w:cs="Times New Roman"/>
          <w:sz w:val="24"/>
          <w:szCs w:val="24"/>
        </w:rPr>
        <w:t>a</w:t>
      </w:r>
      <w:r w:rsidRPr="0036671D">
        <w:rPr>
          <w:rFonts w:ascii="Times New Roman" w:hAnsi="Times New Roman" w:cs="Times New Roman"/>
          <w:sz w:val="24"/>
          <w:szCs w:val="24"/>
        </w:rPr>
        <w:t xml:space="preserve"> seniorů města Olomouce</w:t>
      </w:r>
      <w:r>
        <w:rPr>
          <w:rFonts w:ascii="Times New Roman" w:hAnsi="Times New Roman" w:cs="Times New Roman"/>
          <w:sz w:val="24"/>
          <w:szCs w:val="24"/>
        </w:rPr>
        <w:t>, jejíž zřízení</w:t>
      </w:r>
      <w:r w:rsidRPr="0036671D">
        <w:rPr>
          <w:rFonts w:ascii="Times New Roman" w:hAnsi="Times New Roman" w:cs="Times New Roman"/>
          <w:sz w:val="24"/>
          <w:szCs w:val="24"/>
        </w:rPr>
        <w:t xml:space="preserve"> schválila Rada města Olomouce </w:t>
      </w:r>
      <w:r>
        <w:rPr>
          <w:rFonts w:ascii="Times New Roman" w:hAnsi="Times New Roman" w:cs="Times New Roman"/>
          <w:sz w:val="24"/>
          <w:szCs w:val="24"/>
        </w:rPr>
        <w:t>d</w:t>
      </w:r>
      <w:r w:rsidRPr="0036671D">
        <w:rPr>
          <w:rFonts w:ascii="Times New Roman" w:hAnsi="Times New Roman" w:cs="Times New Roman"/>
          <w:sz w:val="24"/>
          <w:szCs w:val="24"/>
        </w:rPr>
        <w:t>ne 14. 3. 2023</w:t>
      </w:r>
      <w:r>
        <w:rPr>
          <w:rFonts w:ascii="Times New Roman" w:hAnsi="Times New Roman" w:cs="Times New Roman"/>
          <w:sz w:val="24"/>
          <w:szCs w:val="24"/>
        </w:rPr>
        <w:t>.</w:t>
      </w:r>
      <w:r w:rsidRPr="0036671D">
        <w:rPr>
          <w:rFonts w:ascii="Times New Roman" w:hAnsi="Times New Roman" w:cs="Times New Roman"/>
          <w:sz w:val="24"/>
          <w:szCs w:val="24"/>
        </w:rPr>
        <w:t xml:space="preserve"> </w:t>
      </w:r>
      <w:r>
        <w:rPr>
          <w:rFonts w:ascii="Times New Roman" w:hAnsi="Times New Roman" w:cs="Times New Roman"/>
          <w:sz w:val="24"/>
          <w:szCs w:val="24"/>
        </w:rPr>
        <w:t>Ú</w:t>
      </w:r>
      <w:r w:rsidRPr="0036671D">
        <w:rPr>
          <w:rFonts w:ascii="Times New Roman" w:hAnsi="Times New Roman" w:cs="Times New Roman"/>
          <w:sz w:val="24"/>
          <w:szCs w:val="24"/>
        </w:rPr>
        <w:t xml:space="preserve">čelem </w:t>
      </w:r>
      <w:r>
        <w:rPr>
          <w:rFonts w:ascii="Times New Roman" w:hAnsi="Times New Roman" w:cs="Times New Roman"/>
          <w:sz w:val="24"/>
          <w:szCs w:val="24"/>
        </w:rPr>
        <w:t xml:space="preserve">Rady seniorů města Olomouce </w:t>
      </w:r>
      <w:r w:rsidRPr="0036671D">
        <w:rPr>
          <w:rFonts w:ascii="Times New Roman" w:hAnsi="Times New Roman" w:cs="Times New Roman"/>
          <w:sz w:val="24"/>
          <w:szCs w:val="24"/>
        </w:rPr>
        <w:t xml:space="preserve">je propojení, systematičnost a koordinace činností cílících na seniorskou část občanů města Olomouce, a to zejména v oblastech problematiky života seniorů, zlepšování podmínek aktivního stárnutí a zapojení seniorů do aktivního života a dále podpory mezigeneračních vztahů, podpory dialogu a tolerance v této oblasti a podpory spolupráce subjektů věnujících se při své činnosti záležitostem nejstarší generace občanů města. Rada seniorů města Olomouce se tak podílí na přípravě materiálů z oblasti života seniorů (koncepce prorodinné politiky, komunitní plán), projednává a předkládá sociální komisi a Radě města Olomouce materiály podporující kvalitní seniorský život. </w:t>
      </w:r>
    </w:p>
    <w:p w:rsidR="0036671D" w:rsidRPr="0036671D" w:rsidRDefault="0036671D" w:rsidP="0036671D">
      <w:pPr>
        <w:rPr>
          <w:rFonts w:ascii="Times New Roman" w:hAnsi="Times New Roman" w:cs="Times New Roman"/>
          <w:sz w:val="24"/>
          <w:szCs w:val="24"/>
        </w:rPr>
      </w:pPr>
      <w:r w:rsidRPr="0036671D">
        <w:rPr>
          <w:rFonts w:ascii="Times New Roman" w:hAnsi="Times New Roman" w:cs="Times New Roman"/>
          <w:sz w:val="24"/>
          <w:szCs w:val="24"/>
        </w:rPr>
        <w:t xml:space="preserve">Rada města Olomouce na svém jednání dne 28. 1. 2025 schválila rozšíření struktury </w:t>
      </w:r>
      <w:r>
        <w:rPr>
          <w:rFonts w:ascii="Times New Roman" w:hAnsi="Times New Roman" w:cs="Times New Roman"/>
          <w:sz w:val="24"/>
          <w:szCs w:val="24"/>
        </w:rPr>
        <w:t>p</w:t>
      </w:r>
      <w:r w:rsidRPr="0036671D">
        <w:rPr>
          <w:rFonts w:ascii="Times New Roman" w:hAnsi="Times New Roman" w:cs="Times New Roman"/>
          <w:sz w:val="24"/>
          <w:szCs w:val="24"/>
        </w:rPr>
        <w:t>oradních orgánů města Olomouce o Městské zastupitelstvo dětí a mládeže</w:t>
      </w:r>
      <w:r>
        <w:rPr>
          <w:rFonts w:ascii="Times New Roman" w:hAnsi="Times New Roman" w:cs="Times New Roman"/>
          <w:sz w:val="24"/>
          <w:szCs w:val="24"/>
        </w:rPr>
        <w:t>, které je tak dalším významným aktérem na poli prorodinné politiky</w:t>
      </w:r>
      <w:r w:rsidRPr="0036671D">
        <w:rPr>
          <w:rFonts w:ascii="Times New Roman" w:hAnsi="Times New Roman" w:cs="Times New Roman"/>
          <w:sz w:val="24"/>
          <w:szCs w:val="24"/>
        </w:rPr>
        <w:t>. Předpokládá se tak větší zapojení žáků a studentů z Olomouce do života města, tedy v možnosti vyjádřit se k záležitostem, které se jich týkají (např. rekonstrukce hřišť, zapojování do různých projektů, do změny statutu Fondu pomoci olomouckým dětem, do koncepčních dokumentů apod.).</w:t>
      </w:r>
    </w:p>
    <w:p w:rsidR="00216C26" w:rsidRPr="00216C26" w:rsidRDefault="00216C26" w:rsidP="00216C26">
      <w:pPr>
        <w:rPr>
          <w:rFonts w:ascii="Times New Roman" w:hAnsi="Times New Roman" w:cs="Times New Roman"/>
          <w:sz w:val="24"/>
          <w:szCs w:val="24"/>
        </w:rPr>
      </w:pPr>
      <w:r w:rsidRPr="00216C26">
        <w:rPr>
          <w:rFonts w:ascii="Times New Roman" w:hAnsi="Times New Roman" w:cs="Times New Roman"/>
          <w:sz w:val="24"/>
          <w:szCs w:val="24"/>
        </w:rPr>
        <w:t>Jak je již výše uvedeno, rodinná politika zaměřuje svou pozornost na celé rodiny. Pro účely tohoto koncepčního materiálu mluvíme o rodině jako o soužití alespoň dvou lidí, o rodinách s dětmi do 26 let, mladých a bezdětných rodinách a rodinách seniorů a se seniory. Problematika rodin a seniorů se specifickými potřebami je dlouhodobě řešena prostřednictvím plánování sociálních služeb.</w:t>
      </w:r>
    </w:p>
    <w:p w:rsidR="00216C26" w:rsidRPr="00216C26" w:rsidRDefault="00216C26" w:rsidP="00216C26">
      <w:pPr>
        <w:rPr>
          <w:rFonts w:ascii="Times New Roman" w:hAnsi="Times New Roman" w:cs="Times New Roman"/>
          <w:sz w:val="24"/>
          <w:szCs w:val="24"/>
        </w:rPr>
      </w:pPr>
      <w:r w:rsidRPr="00216C26">
        <w:rPr>
          <w:rFonts w:ascii="Times New Roman" w:hAnsi="Times New Roman" w:cs="Times New Roman"/>
          <w:sz w:val="24"/>
          <w:szCs w:val="24"/>
        </w:rPr>
        <w:t xml:space="preserve">Podkladem pro tvorbu Koncepce prorodinné politiky statutárního města Olomouce na roky </w:t>
      </w:r>
      <w:r w:rsidRPr="00A15A76">
        <w:rPr>
          <w:rFonts w:ascii="Times New Roman" w:hAnsi="Times New Roman" w:cs="Times New Roman"/>
          <w:sz w:val="24"/>
          <w:szCs w:val="24"/>
        </w:rPr>
        <w:t>202</w:t>
      </w:r>
      <w:r w:rsidR="00A15A76" w:rsidRPr="00A15A76">
        <w:rPr>
          <w:rFonts w:ascii="Times New Roman" w:hAnsi="Times New Roman" w:cs="Times New Roman"/>
          <w:sz w:val="24"/>
          <w:szCs w:val="24"/>
        </w:rPr>
        <w:t>6</w:t>
      </w:r>
      <w:r w:rsidRPr="00A15A76">
        <w:rPr>
          <w:rFonts w:ascii="Times New Roman" w:hAnsi="Times New Roman" w:cs="Times New Roman"/>
          <w:sz w:val="24"/>
          <w:szCs w:val="24"/>
        </w:rPr>
        <w:t>-202</w:t>
      </w:r>
      <w:r w:rsidR="00A15A76" w:rsidRPr="00A15A76">
        <w:rPr>
          <w:rFonts w:ascii="Times New Roman" w:hAnsi="Times New Roman" w:cs="Times New Roman"/>
          <w:sz w:val="24"/>
          <w:szCs w:val="24"/>
        </w:rPr>
        <w:t>8</w:t>
      </w:r>
      <w:r w:rsidR="00A15A76">
        <w:rPr>
          <w:rFonts w:ascii="Times New Roman" w:hAnsi="Times New Roman" w:cs="Times New Roman"/>
          <w:sz w:val="24"/>
          <w:szCs w:val="24"/>
        </w:rPr>
        <w:t xml:space="preserve"> </w:t>
      </w:r>
      <w:r w:rsidRPr="00216C26">
        <w:rPr>
          <w:rFonts w:ascii="Times New Roman" w:hAnsi="Times New Roman" w:cs="Times New Roman"/>
          <w:sz w:val="24"/>
          <w:szCs w:val="24"/>
        </w:rPr>
        <w:t xml:space="preserve">byly zejména výstupy ze SWOT analýzy, výstupy </w:t>
      </w:r>
      <w:r w:rsidR="00471E06">
        <w:rPr>
          <w:rFonts w:ascii="Times New Roman" w:hAnsi="Times New Roman" w:cs="Times New Roman"/>
          <w:sz w:val="24"/>
          <w:szCs w:val="24"/>
        </w:rPr>
        <w:t>z anketního šetření (u rodin s dětmi, seniorů, mládeže, KMČ, otevřených školních hřišť)</w:t>
      </w:r>
      <w:r w:rsidRPr="00216C26">
        <w:rPr>
          <w:rFonts w:ascii="Times New Roman" w:hAnsi="Times New Roman" w:cs="Times New Roman"/>
          <w:sz w:val="24"/>
          <w:szCs w:val="24"/>
        </w:rPr>
        <w:t>, zhodnocení naplňování Koncepce prorodinné politiky SMOl na roky 20</w:t>
      </w:r>
      <w:r w:rsidR="00471E06">
        <w:rPr>
          <w:rFonts w:ascii="Times New Roman" w:hAnsi="Times New Roman" w:cs="Times New Roman"/>
          <w:sz w:val="24"/>
          <w:szCs w:val="24"/>
        </w:rPr>
        <w:t>22</w:t>
      </w:r>
      <w:r w:rsidRPr="00216C26">
        <w:rPr>
          <w:rFonts w:ascii="Times New Roman" w:hAnsi="Times New Roman" w:cs="Times New Roman"/>
          <w:sz w:val="24"/>
          <w:szCs w:val="24"/>
        </w:rPr>
        <w:t>-202</w:t>
      </w:r>
      <w:r w:rsidR="00471E06">
        <w:rPr>
          <w:rFonts w:ascii="Times New Roman" w:hAnsi="Times New Roman" w:cs="Times New Roman"/>
          <w:sz w:val="24"/>
          <w:szCs w:val="24"/>
        </w:rPr>
        <w:t>4</w:t>
      </w:r>
      <w:r w:rsidRPr="00216C26">
        <w:rPr>
          <w:rFonts w:ascii="Times New Roman" w:hAnsi="Times New Roman" w:cs="Times New Roman"/>
          <w:sz w:val="24"/>
          <w:szCs w:val="24"/>
        </w:rPr>
        <w:t xml:space="preserve">, </w:t>
      </w:r>
      <w:r w:rsidR="00BC51F0">
        <w:rPr>
          <w:rFonts w:ascii="Times New Roman" w:hAnsi="Times New Roman" w:cs="Times New Roman"/>
          <w:sz w:val="24"/>
          <w:szCs w:val="24"/>
        </w:rPr>
        <w:t>vybrané socioekonomické ukazatele</w:t>
      </w:r>
      <w:r w:rsidR="009A3CD7">
        <w:rPr>
          <w:rFonts w:ascii="Times New Roman" w:hAnsi="Times New Roman" w:cs="Times New Roman"/>
          <w:sz w:val="24"/>
          <w:szCs w:val="24"/>
        </w:rPr>
        <w:t xml:space="preserve"> a další</w:t>
      </w:r>
      <w:r w:rsidRPr="00216C26">
        <w:rPr>
          <w:rFonts w:ascii="Times New Roman" w:hAnsi="Times New Roman" w:cs="Times New Roman"/>
          <w:sz w:val="24"/>
          <w:szCs w:val="24"/>
        </w:rPr>
        <w:t>.</w:t>
      </w:r>
    </w:p>
    <w:p w:rsidR="00216C26" w:rsidRPr="00471E06" w:rsidRDefault="00471E06" w:rsidP="00471E06">
      <w:pPr>
        <w:pStyle w:val="Nadpis1"/>
        <w:numPr>
          <w:ilvl w:val="0"/>
          <w:numId w:val="2"/>
        </w:numPr>
      </w:pPr>
      <w:r w:rsidRPr="00471E06">
        <w:t>Analytická část</w:t>
      </w:r>
    </w:p>
    <w:p w:rsidR="00471E06" w:rsidRDefault="00471E06" w:rsidP="003C6EEE">
      <w:pPr>
        <w:spacing w:after="0"/>
        <w:rPr>
          <w:rFonts w:ascii="Times New Roman" w:hAnsi="Times New Roman" w:cs="Times New Roman"/>
          <w:sz w:val="24"/>
          <w:szCs w:val="24"/>
        </w:rPr>
      </w:pPr>
    </w:p>
    <w:p w:rsidR="00471E06" w:rsidRDefault="00471E06">
      <w:pPr>
        <w:rPr>
          <w:rFonts w:ascii="Times New Roman" w:hAnsi="Times New Roman" w:cs="Times New Roman"/>
          <w:sz w:val="24"/>
          <w:szCs w:val="24"/>
        </w:rPr>
      </w:pPr>
      <w:r>
        <w:rPr>
          <w:rFonts w:ascii="Times New Roman" w:hAnsi="Times New Roman" w:cs="Times New Roman"/>
          <w:sz w:val="24"/>
          <w:szCs w:val="24"/>
        </w:rPr>
        <w:t xml:space="preserve">Následující kapitola obsahuje </w:t>
      </w:r>
      <w:r w:rsidR="00C111B7">
        <w:rPr>
          <w:rFonts w:ascii="Times New Roman" w:hAnsi="Times New Roman" w:cs="Times New Roman"/>
          <w:sz w:val="24"/>
          <w:szCs w:val="24"/>
        </w:rPr>
        <w:t>vybrané socioekonomické ukazatele</w:t>
      </w:r>
      <w:r>
        <w:rPr>
          <w:rFonts w:ascii="Times New Roman" w:hAnsi="Times New Roman" w:cs="Times New Roman"/>
          <w:sz w:val="24"/>
          <w:szCs w:val="24"/>
        </w:rPr>
        <w:t xml:space="preserve">, výstupy ze SWOT analýzy a základní zjištění z anketního šetření, kterým byly osloveny rodiny s dětmi, senioři, mládež, KMČ a </w:t>
      </w:r>
      <w:r w:rsidR="00531E45">
        <w:rPr>
          <w:rFonts w:ascii="Times New Roman" w:hAnsi="Times New Roman" w:cs="Times New Roman"/>
          <w:sz w:val="24"/>
          <w:szCs w:val="24"/>
        </w:rPr>
        <w:t xml:space="preserve">školy, při kterých jsou </w:t>
      </w:r>
      <w:r>
        <w:rPr>
          <w:rFonts w:ascii="Times New Roman" w:hAnsi="Times New Roman" w:cs="Times New Roman"/>
          <w:sz w:val="24"/>
          <w:szCs w:val="24"/>
        </w:rPr>
        <w:t>otevřená školní hřiště.</w:t>
      </w:r>
    </w:p>
    <w:p w:rsidR="00471E06" w:rsidRPr="00C111B7" w:rsidRDefault="00471E06" w:rsidP="00C111B7">
      <w:pPr>
        <w:pStyle w:val="Nadpis2"/>
      </w:pPr>
      <w:bookmarkStart w:id="0" w:name="_GoBack"/>
      <w:r w:rsidRPr="00C111B7">
        <w:t>2.1 Vybrané socio</w:t>
      </w:r>
      <w:r w:rsidR="00C111B7" w:rsidRPr="00C111B7">
        <w:t>ekonomické</w:t>
      </w:r>
      <w:r w:rsidRPr="00C111B7">
        <w:t xml:space="preserve"> ukazatele</w:t>
      </w:r>
    </w:p>
    <w:bookmarkEnd w:id="0"/>
    <w:p w:rsidR="00471E06" w:rsidRPr="004E772D" w:rsidRDefault="00471E06" w:rsidP="00471E06">
      <w:pPr>
        <w:pStyle w:val="Odstavecseseznamem"/>
        <w:rPr>
          <w:rFonts w:ascii="Times New Roman" w:hAnsi="Times New Roman" w:cs="Times New Roman"/>
          <w:b/>
          <w:sz w:val="24"/>
          <w:szCs w:val="24"/>
        </w:rPr>
      </w:pPr>
    </w:p>
    <w:p w:rsidR="00C111B7" w:rsidRPr="00B30811" w:rsidRDefault="00BC51F0" w:rsidP="00C111B7">
      <w:pPr>
        <w:pStyle w:val="Odstavecseseznamem"/>
        <w:ind w:left="0"/>
        <w:rPr>
          <w:rFonts w:ascii="Times New Roman" w:hAnsi="Times New Roman" w:cs="Times New Roman"/>
          <w:sz w:val="24"/>
          <w:szCs w:val="24"/>
        </w:rPr>
      </w:pPr>
      <w:r>
        <w:rPr>
          <w:rFonts w:ascii="Times New Roman" w:hAnsi="Times New Roman" w:cs="Times New Roman"/>
          <w:sz w:val="24"/>
          <w:szCs w:val="24"/>
        </w:rPr>
        <w:t>Tato</w:t>
      </w:r>
      <w:r w:rsidR="00C111B7">
        <w:rPr>
          <w:rFonts w:ascii="Times New Roman" w:hAnsi="Times New Roman" w:cs="Times New Roman"/>
          <w:sz w:val="24"/>
          <w:szCs w:val="24"/>
        </w:rPr>
        <w:t xml:space="preserve"> kapitola </w:t>
      </w:r>
      <w:r>
        <w:rPr>
          <w:rFonts w:ascii="Times New Roman" w:hAnsi="Times New Roman" w:cs="Times New Roman"/>
          <w:sz w:val="24"/>
          <w:szCs w:val="24"/>
        </w:rPr>
        <w:t>poskytuje</w:t>
      </w:r>
      <w:r w:rsidR="00C111B7">
        <w:rPr>
          <w:rFonts w:ascii="Times New Roman" w:hAnsi="Times New Roman" w:cs="Times New Roman"/>
          <w:sz w:val="24"/>
          <w:szCs w:val="24"/>
        </w:rPr>
        <w:t xml:space="preserve"> data o obyvatelstvu, vývoji počtu obyvatelstva, </w:t>
      </w:r>
      <w:r w:rsidR="005065E2">
        <w:rPr>
          <w:rFonts w:ascii="Times New Roman" w:hAnsi="Times New Roman" w:cs="Times New Roman"/>
          <w:sz w:val="24"/>
          <w:szCs w:val="24"/>
        </w:rPr>
        <w:t xml:space="preserve">vzdělanostní struktuře, počtu cizinců, </w:t>
      </w:r>
      <w:r w:rsidR="00C111B7">
        <w:rPr>
          <w:rFonts w:ascii="Times New Roman" w:hAnsi="Times New Roman" w:cs="Times New Roman"/>
          <w:sz w:val="24"/>
          <w:szCs w:val="24"/>
        </w:rPr>
        <w:t xml:space="preserve">o bytovém a domovním fondu, trhu práce a zaměstnanosti a vzdělávání. </w:t>
      </w:r>
      <w:r w:rsidR="00B30811">
        <w:rPr>
          <w:rFonts w:ascii="Times New Roman" w:hAnsi="Times New Roman" w:cs="Times New Roman"/>
          <w:sz w:val="24"/>
          <w:szCs w:val="24"/>
        </w:rPr>
        <w:t xml:space="preserve">Podklady byly získány především z ČSÚ, část byla zpracována organizací </w:t>
      </w:r>
      <w:r w:rsidR="00B30811" w:rsidRPr="00B30811">
        <w:rPr>
          <w:rFonts w:ascii="Times New Roman" w:hAnsi="Times New Roman"/>
          <w:sz w:val="24"/>
          <w:szCs w:val="24"/>
        </w:rPr>
        <w:t xml:space="preserve">ACCENDO – Centrum pro vědu a </w:t>
      </w:r>
      <w:proofErr w:type="gramStart"/>
      <w:r w:rsidR="00B30811" w:rsidRPr="00B30811">
        <w:rPr>
          <w:rFonts w:ascii="Times New Roman" w:hAnsi="Times New Roman"/>
          <w:sz w:val="24"/>
          <w:szCs w:val="24"/>
        </w:rPr>
        <w:t xml:space="preserve">výzkum, </w:t>
      </w:r>
      <w:proofErr w:type="spellStart"/>
      <w:r w:rsidR="00B30811" w:rsidRPr="00B30811">
        <w:rPr>
          <w:rFonts w:ascii="Times New Roman" w:hAnsi="Times New Roman"/>
          <w:sz w:val="24"/>
          <w:szCs w:val="24"/>
        </w:rPr>
        <w:t>z.ú</w:t>
      </w:r>
      <w:proofErr w:type="spellEnd"/>
      <w:r w:rsidR="00B30811" w:rsidRPr="00B30811">
        <w:rPr>
          <w:rFonts w:ascii="Times New Roman" w:hAnsi="Times New Roman"/>
          <w:sz w:val="24"/>
          <w:szCs w:val="24"/>
        </w:rPr>
        <w:t>.</w:t>
      </w:r>
      <w:r w:rsidR="00B30811">
        <w:rPr>
          <w:rFonts w:ascii="Times New Roman" w:hAnsi="Times New Roman"/>
          <w:sz w:val="24"/>
          <w:szCs w:val="24"/>
        </w:rPr>
        <w:t xml:space="preserve"> a část</w:t>
      </w:r>
      <w:proofErr w:type="gramEnd"/>
      <w:r w:rsidR="00B30811">
        <w:rPr>
          <w:rFonts w:ascii="Times New Roman" w:hAnsi="Times New Roman"/>
          <w:sz w:val="24"/>
          <w:szCs w:val="24"/>
        </w:rPr>
        <w:t xml:space="preserve"> byla použita ze zprávy </w:t>
      </w:r>
      <w:proofErr w:type="spellStart"/>
      <w:r w:rsidR="00B30811">
        <w:rPr>
          <w:rFonts w:ascii="Times New Roman" w:hAnsi="Times New Roman"/>
          <w:sz w:val="24"/>
          <w:szCs w:val="24"/>
        </w:rPr>
        <w:t>Socio</w:t>
      </w:r>
      <w:proofErr w:type="spellEnd"/>
      <w:r w:rsidR="00B30811">
        <w:rPr>
          <w:rFonts w:ascii="Times New Roman" w:hAnsi="Times New Roman"/>
          <w:sz w:val="24"/>
          <w:szCs w:val="24"/>
        </w:rPr>
        <w:t xml:space="preserve">-ekonomická analýza statutárního města Olomouce zpracovaná organizací </w:t>
      </w:r>
      <w:proofErr w:type="spellStart"/>
      <w:r w:rsidR="00B30811">
        <w:rPr>
          <w:rFonts w:ascii="Times New Roman" w:hAnsi="Times New Roman"/>
          <w:sz w:val="24"/>
          <w:szCs w:val="24"/>
        </w:rPr>
        <w:t>BeePartner</w:t>
      </w:r>
      <w:proofErr w:type="spellEnd"/>
      <w:r w:rsidR="00B30811">
        <w:rPr>
          <w:rFonts w:ascii="Times New Roman" w:hAnsi="Times New Roman"/>
          <w:sz w:val="24"/>
          <w:szCs w:val="24"/>
        </w:rPr>
        <w:t xml:space="preserve"> a.s.</w:t>
      </w:r>
    </w:p>
    <w:p w:rsidR="00C111B7" w:rsidRDefault="00C111B7" w:rsidP="00C111B7">
      <w:pPr>
        <w:pStyle w:val="Nadpis3"/>
      </w:pPr>
      <w:r>
        <w:lastRenderedPageBreak/>
        <w:t>2.1.1 Obyvatelstvo</w:t>
      </w:r>
    </w:p>
    <w:p w:rsidR="00C111B7" w:rsidRDefault="00C111B7" w:rsidP="00C111B7">
      <w:pPr>
        <w:pStyle w:val="Odstavecseseznamem"/>
        <w:ind w:left="0"/>
        <w:rPr>
          <w:rFonts w:ascii="Times New Roman" w:hAnsi="Times New Roman" w:cs="Times New Roman"/>
          <w:sz w:val="24"/>
          <w:szCs w:val="24"/>
        </w:rPr>
      </w:pPr>
    </w:p>
    <w:p w:rsidR="00471E06" w:rsidRDefault="00F91D03" w:rsidP="00F91D03">
      <w:pPr>
        <w:pStyle w:val="Odstavecseseznamem"/>
        <w:ind w:left="0"/>
        <w:rPr>
          <w:rFonts w:ascii="Times New Roman" w:hAnsi="Times New Roman" w:cs="Times New Roman"/>
          <w:color w:val="181717"/>
          <w:sz w:val="24"/>
          <w:szCs w:val="24"/>
        </w:rPr>
      </w:pPr>
      <w:r w:rsidRPr="00F91D03">
        <w:rPr>
          <w:rFonts w:ascii="Times New Roman" w:hAnsi="Times New Roman" w:cs="Times New Roman"/>
          <w:color w:val="181717"/>
          <w:sz w:val="24"/>
          <w:szCs w:val="24"/>
        </w:rPr>
        <w:t xml:space="preserve">Ve městě Olomouci žilo k </w:t>
      </w:r>
      <w:r w:rsidR="00C111B7">
        <w:rPr>
          <w:rFonts w:ascii="Times New Roman" w:hAnsi="Times New Roman" w:cs="Times New Roman"/>
          <w:color w:val="181717"/>
          <w:sz w:val="24"/>
          <w:szCs w:val="24"/>
        </w:rPr>
        <w:t>3</w:t>
      </w:r>
      <w:r w:rsidRPr="00F91D03">
        <w:rPr>
          <w:rFonts w:ascii="Times New Roman" w:hAnsi="Times New Roman" w:cs="Times New Roman"/>
          <w:color w:val="181717"/>
          <w:sz w:val="24"/>
          <w:szCs w:val="24"/>
        </w:rPr>
        <w:t>1. 1</w:t>
      </w:r>
      <w:r w:rsidR="00C111B7">
        <w:rPr>
          <w:rFonts w:ascii="Times New Roman" w:hAnsi="Times New Roman" w:cs="Times New Roman"/>
          <w:color w:val="181717"/>
          <w:sz w:val="24"/>
          <w:szCs w:val="24"/>
        </w:rPr>
        <w:t>2</w:t>
      </w:r>
      <w:r w:rsidRPr="00F91D03">
        <w:rPr>
          <w:rFonts w:ascii="Times New Roman" w:hAnsi="Times New Roman" w:cs="Times New Roman"/>
          <w:color w:val="181717"/>
          <w:sz w:val="24"/>
          <w:szCs w:val="24"/>
        </w:rPr>
        <w:t>. 202</w:t>
      </w:r>
      <w:r w:rsidR="00C111B7">
        <w:rPr>
          <w:rFonts w:ascii="Times New Roman" w:hAnsi="Times New Roman" w:cs="Times New Roman"/>
          <w:color w:val="181717"/>
          <w:sz w:val="24"/>
          <w:szCs w:val="24"/>
        </w:rPr>
        <w:t>3</w:t>
      </w:r>
      <w:r w:rsidRPr="00F91D03">
        <w:rPr>
          <w:rFonts w:ascii="Times New Roman" w:hAnsi="Times New Roman" w:cs="Times New Roman"/>
          <w:color w:val="181717"/>
          <w:sz w:val="24"/>
          <w:szCs w:val="24"/>
        </w:rPr>
        <w:t xml:space="preserve"> celkem 102 293 obyvatel</w:t>
      </w:r>
      <w:r>
        <w:rPr>
          <w:rFonts w:ascii="Times New Roman" w:hAnsi="Times New Roman" w:cs="Times New Roman"/>
          <w:color w:val="181717"/>
          <w:sz w:val="24"/>
          <w:szCs w:val="24"/>
        </w:rPr>
        <w:t xml:space="preserve">. </w:t>
      </w:r>
      <w:r w:rsidR="00AF5818">
        <w:rPr>
          <w:rFonts w:ascii="Times New Roman" w:hAnsi="Times New Roman" w:cs="Times New Roman"/>
          <w:color w:val="181717"/>
          <w:sz w:val="24"/>
          <w:szCs w:val="24"/>
        </w:rPr>
        <w:t>Oproti předchozímu roku se jedná o navýšení o 468 osob</w:t>
      </w:r>
      <w:r>
        <w:rPr>
          <w:rFonts w:ascii="Times New Roman" w:hAnsi="Times New Roman" w:cs="Times New Roman"/>
          <w:color w:val="181717"/>
          <w:sz w:val="24"/>
          <w:szCs w:val="24"/>
        </w:rPr>
        <w:t xml:space="preserve">. </w:t>
      </w:r>
      <w:r w:rsidR="00C111B7">
        <w:rPr>
          <w:rFonts w:ascii="Times New Roman" w:hAnsi="Times New Roman" w:cs="Times New Roman"/>
          <w:color w:val="181717"/>
          <w:sz w:val="24"/>
          <w:szCs w:val="24"/>
        </w:rPr>
        <w:t xml:space="preserve">V rámci vývoje počtu obyvatel v posledních letech lze tvrdit, že dochází k mírnému nárůstu počtu obyvatel. </w:t>
      </w:r>
      <w:r>
        <w:rPr>
          <w:rFonts w:ascii="Times New Roman" w:hAnsi="Times New Roman" w:cs="Times New Roman"/>
          <w:color w:val="181717"/>
          <w:sz w:val="24"/>
          <w:szCs w:val="24"/>
        </w:rPr>
        <w:t xml:space="preserve">V posledních letech </w:t>
      </w:r>
      <w:r w:rsidR="00C111B7">
        <w:rPr>
          <w:rFonts w:ascii="Times New Roman" w:hAnsi="Times New Roman" w:cs="Times New Roman"/>
          <w:color w:val="181717"/>
          <w:sz w:val="24"/>
          <w:szCs w:val="24"/>
        </w:rPr>
        <w:t>sledujeme trend, že přirozený úbytek a menší porodnost nahrazují nově příchozí</w:t>
      </w:r>
      <w:r>
        <w:rPr>
          <w:rFonts w:ascii="Times New Roman" w:hAnsi="Times New Roman" w:cs="Times New Roman"/>
          <w:color w:val="181717"/>
          <w:sz w:val="24"/>
          <w:szCs w:val="24"/>
        </w:rPr>
        <w:t xml:space="preserve">. </w:t>
      </w:r>
    </w:p>
    <w:p w:rsidR="00F91D03" w:rsidRPr="00AE1E58" w:rsidRDefault="00F91D03" w:rsidP="00531E45">
      <w:pPr>
        <w:spacing w:after="0"/>
        <w:rPr>
          <w:rFonts w:ascii="Times New Roman" w:hAnsi="Times New Roman" w:cs="Times New Roman"/>
          <w:i/>
          <w:color w:val="1F4E79"/>
          <w:sz w:val="20"/>
          <w:szCs w:val="20"/>
        </w:rPr>
      </w:pPr>
      <w:r w:rsidRPr="00AE1E58">
        <w:rPr>
          <w:rFonts w:ascii="Times New Roman" w:hAnsi="Times New Roman" w:cs="Times New Roman"/>
          <w:i/>
          <w:sz w:val="20"/>
          <w:szCs w:val="20"/>
        </w:rPr>
        <w:t>Tabulka 1</w:t>
      </w:r>
      <w:r w:rsidR="00AE1E58" w:rsidRPr="00AE1E58">
        <w:rPr>
          <w:rFonts w:ascii="Times New Roman" w:hAnsi="Times New Roman" w:cs="Times New Roman"/>
          <w:i/>
          <w:sz w:val="20"/>
          <w:szCs w:val="20"/>
        </w:rPr>
        <w:t>:</w:t>
      </w:r>
      <w:r w:rsidRPr="00AE1E58">
        <w:rPr>
          <w:rFonts w:ascii="Times New Roman" w:hAnsi="Times New Roman" w:cs="Times New Roman"/>
          <w:i/>
          <w:sz w:val="20"/>
          <w:szCs w:val="20"/>
        </w:rPr>
        <w:t xml:space="preserve"> Pohyb obyvatel (město Olomouc)</w:t>
      </w:r>
    </w:p>
    <w:tbl>
      <w:tblPr>
        <w:tblW w:w="8520" w:type="dxa"/>
        <w:tblInd w:w="55" w:type="dxa"/>
        <w:tblCellMar>
          <w:left w:w="70" w:type="dxa"/>
          <w:right w:w="70" w:type="dxa"/>
        </w:tblCellMar>
        <w:tblLook w:val="00A0" w:firstRow="1" w:lastRow="0" w:firstColumn="1" w:lastColumn="0" w:noHBand="0" w:noVBand="0"/>
      </w:tblPr>
      <w:tblGrid>
        <w:gridCol w:w="1118"/>
        <w:gridCol w:w="1165"/>
        <w:gridCol w:w="1134"/>
        <w:gridCol w:w="993"/>
        <w:gridCol w:w="1134"/>
        <w:gridCol w:w="992"/>
        <w:gridCol w:w="992"/>
        <w:gridCol w:w="992"/>
      </w:tblGrid>
      <w:tr w:rsidR="00F91D03" w:rsidRPr="001947F7" w:rsidTr="00F91D03">
        <w:trPr>
          <w:trHeight w:val="255"/>
        </w:trPr>
        <w:tc>
          <w:tcPr>
            <w:tcW w:w="2283" w:type="dxa"/>
            <w:gridSpan w:val="2"/>
            <w:tcBorders>
              <w:top w:val="single" w:sz="8" w:space="0" w:color="auto"/>
              <w:left w:val="single" w:sz="8" w:space="0" w:color="auto"/>
              <w:bottom w:val="single" w:sz="4" w:space="0" w:color="auto"/>
              <w:right w:val="single" w:sz="4" w:space="0" w:color="auto"/>
            </w:tcBorders>
            <w:shd w:val="clear" w:color="auto" w:fill="D9D9D9"/>
            <w:vAlign w:val="center"/>
          </w:tcPr>
          <w:p w:rsidR="00F91D03" w:rsidRPr="00FE6616" w:rsidRDefault="00F91D03" w:rsidP="00256A66">
            <w:pPr>
              <w:spacing w:after="0" w:line="240" w:lineRule="auto"/>
              <w:jc w:val="center"/>
              <w:rPr>
                <w:color w:val="000000"/>
                <w:sz w:val="20"/>
                <w:szCs w:val="20"/>
                <w:lang w:eastAsia="cs-CZ"/>
              </w:rPr>
            </w:pPr>
          </w:p>
        </w:tc>
        <w:tc>
          <w:tcPr>
            <w:tcW w:w="1134" w:type="dxa"/>
            <w:tcBorders>
              <w:top w:val="single" w:sz="8" w:space="0" w:color="auto"/>
              <w:left w:val="single" w:sz="4" w:space="0" w:color="auto"/>
              <w:bottom w:val="single" w:sz="4" w:space="0" w:color="auto"/>
              <w:right w:val="single" w:sz="4" w:space="0" w:color="auto"/>
            </w:tcBorders>
            <w:shd w:val="clear" w:color="auto" w:fill="D9D9D9"/>
            <w:vAlign w:val="center"/>
          </w:tcPr>
          <w:p w:rsidR="00F91D03" w:rsidRPr="00FE6616" w:rsidRDefault="00F91D03" w:rsidP="00256A66">
            <w:pPr>
              <w:spacing w:after="0" w:line="240" w:lineRule="auto"/>
              <w:jc w:val="center"/>
              <w:rPr>
                <w:b/>
                <w:color w:val="000000"/>
                <w:sz w:val="20"/>
                <w:szCs w:val="20"/>
                <w:lang w:eastAsia="cs-CZ"/>
              </w:rPr>
            </w:pPr>
            <w:r w:rsidRPr="00FE6616">
              <w:rPr>
                <w:b/>
                <w:color w:val="000000"/>
                <w:sz w:val="20"/>
                <w:szCs w:val="20"/>
                <w:lang w:eastAsia="cs-CZ"/>
              </w:rPr>
              <w:t>2016</w:t>
            </w:r>
          </w:p>
        </w:tc>
        <w:tc>
          <w:tcPr>
            <w:tcW w:w="993" w:type="dxa"/>
            <w:tcBorders>
              <w:top w:val="single" w:sz="8" w:space="0" w:color="auto"/>
              <w:left w:val="nil"/>
              <w:bottom w:val="single" w:sz="4" w:space="0" w:color="auto"/>
              <w:right w:val="single" w:sz="4" w:space="0" w:color="auto"/>
            </w:tcBorders>
            <w:shd w:val="clear" w:color="auto" w:fill="D9D9D9"/>
            <w:vAlign w:val="center"/>
          </w:tcPr>
          <w:p w:rsidR="00F91D03" w:rsidRPr="00FE6616" w:rsidRDefault="00F91D03" w:rsidP="00256A66">
            <w:pPr>
              <w:spacing w:after="0" w:line="240" w:lineRule="auto"/>
              <w:jc w:val="center"/>
              <w:rPr>
                <w:b/>
                <w:color w:val="000000"/>
                <w:sz w:val="20"/>
                <w:szCs w:val="20"/>
                <w:lang w:eastAsia="cs-CZ"/>
              </w:rPr>
            </w:pPr>
            <w:r w:rsidRPr="00FE6616">
              <w:rPr>
                <w:b/>
                <w:color w:val="000000"/>
                <w:sz w:val="20"/>
                <w:szCs w:val="20"/>
                <w:lang w:eastAsia="cs-CZ"/>
              </w:rPr>
              <w:t>2017</w:t>
            </w:r>
          </w:p>
        </w:tc>
        <w:tc>
          <w:tcPr>
            <w:tcW w:w="1134" w:type="dxa"/>
            <w:tcBorders>
              <w:top w:val="single" w:sz="8" w:space="0" w:color="auto"/>
              <w:left w:val="nil"/>
              <w:bottom w:val="single" w:sz="4" w:space="0" w:color="auto"/>
              <w:right w:val="single" w:sz="4" w:space="0" w:color="auto"/>
            </w:tcBorders>
            <w:shd w:val="clear" w:color="auto" w:fill="D9D9D9"/>
            <w:vAlign w:val="center"/>
          </w:tcPr>
          <w:p w:rsidR="00F91D03" w:rsidRPr="00FE6616" w:rsidRDefault="00F91D03" w:rsidP="00256A66">
            <w:pPr>
              <w:spacing w:after="0" w:line="240" w:lineRule="auto"/>
              <w:jc w:val="center"/>
              <w:rPr>
                <w:b/>
                <w:color w:val="000000"/>
                <w:sz w:val="20"/>
                <w:szCs w:val="20"/>
                <w:lang w:eastAsia="cs-CZ"/>
              </w:rPr>
            </w:pPr>
            <w:r w:rsidRPr="00FE6616">
              <w:rPr>
                <w:b/>
                <w:color w:val="000000"/>
                <w:sz w:val="20"/>
                <w:szCs w:val="20"/>
                <w:lang w:eastAsia="cs-CZ"/>
              </w:rPr>
              <w:t>2018</w:t>
            </w:r>
          </w:p>
        </w:tc>
        <w:tc>
          <w:tcPr>
            <w:tcW w:w="992" w:type="dxa"/>
            <w:tcBorders>
              <w:top w:val="single" w:sz="8" w:space="0" w:color="auto"/>
              <w:left w:val="nil"/>
              <w:bottom w:val="single" w:sz="4" w:space="0" w:color="auto"/>
              <w:right w:val="single" w:sz="4" w:space="0" w:color="auto"/>
            </w:tcBorders>
            <w:shd w:val="clear" w:color="auto" w:fill="D9D9D9"/>
            <w:vAlign w:val="center"/>
          </w:tcPr>
          <w:p w:rsidR="00F91D03" w:rsidRPr="00FE6616" w:rsidRDefault="00F91D03" w:rsidP="00256A66">
            <w:pPr>
              <w:spacing w:after="0" w:line="240" w:lineRule="auto"/>
              <w:jc w:val="center"/>
              <w:rPr>
                <w:b/>
                <w:color w:val="000000"/>
                <w:sz w:val="20"/>
                <w:szCs w:val="20"/>
                <w:lang w:eastAsia="cs-CZ"/>
              </w:rPr>
            </w:pPr>
            <w:r w:rsidRPr="00FE6616">
              <w:rPr>
                <w:b/>
                <w:color w:val="000000"/>
                <w:sz w:val="20"/>
                <w:szCs w:val="20"/>
                <w:lang w:eastAsia="cs-CZ"/>
              </w:rPr>
              <w:t>2019</w:t>
            </w:r>
          </w:p>
        </w:tc>
        <w:tc>
          <w:tcPr>
            <w:tcW w:w="992" w:type="dxa"/>
            <w:tcBorders>
              <w:top w:val="single" w:sz="8" w:space="0" w:color="auto"/>
              <w:left w:val="nil"/>
              <w:bottom w:val="single" w:sz="4" w:space="0" w:color="auto"/>
              <w:right w:val="single" w:sz="4" w:space="0" w:color="auto"/>
            </w:tcBorders>
            <w:shd w:val="clear" w:color="auto" w:fill="D9D9D9"/>
            <w:vAlign w:val="center"/>
          </w:tcPr>
          <w:p w:rsidR="00F91D03" w:rsidRPr="00FE6616" w:rsidRDefault="00F91D03" w:rsidP="00256A66">
            <w:pPr>
              <w:spacing w:after="0" w:line="240" w:lineRule="auto"/>
              <w:jc w:val="center"/>
              <w:rPr>
                <w:b/>
                <w:color w:val="000000"/>
                <w:sz w:val="20"/>
                <w:szCs w:val="20"/>
                <w:lang w:eastAsia="cs-CZ"/>
              </w:rPr>
            </w:pPr>
            <w:r w:rsidRPr="00FE6616">
              <w:rPr>
                <w:b/>
                <w:color w:val="000000"/>
                <w:sz w:val="20"/>
                <w:szCs w:val="20"/>
                <w:lang w:eastAsia="cs-CZ"/>
              </w:rPr>
              <w:t>2020</w:t>
            </w:r>
          </w:p>
        </w:tc>
        <w:tc>
          <w:tcPr>
            <w:tcW w:w="992" w:type="dxa"/>
            <w:tcBorders>
              <w:top w:val="single" w:sz="8" w:space="0" w:color="auto"/>
              <w:left w:val="single" w:sz="4" w:space="0" w:color="auto"/>
              <w:bottom w:val="single" w:sz="4" w:space="0" w:color="auto"/>
              <w:right w:val="single" w:sz="8" w:space="0" w:color="auto"/>
            </w:tcBorders>
            <w:shd w:val="clear" w:color="auto" w:fill="D9D9D9"/>
          </w:tcPr>
          <w:p w:rsidR="00F91D03" w:rsidRPr="00FE6616" w:rsidRDefault="00F90143" w:rsidP="00256A66">
            <w:pPr>
              <w:spacing w:after="0" w:line="240" w:lineRule="auto"/>
              <w:jc w:val="center"/>
              <w:rPr>
                <w:b/>
                <w:color w:val="000000"/>
                <w:sz w:val="20"/>
                <w:szCs w:val="20"/>
                <w:lang w:eastAsia="cs-CZ"/>
              </w:rPr>
            </w:pPr>
            <w:r>
              <w:rPr>
                <w:b/>
                <w:color w:val="000000"/>
                <w:sz w:val="20"/>
                <w:szCs w:val="20"/>
                <w:lang w:eastAsia="cs-CZ"/>
              </w:rPr>
              <w:t>2023</w:t>
            </w:r>
          </w:p>
        </w:tc>
      </w:tr>
      <w:tr w:rsidR="00F91D03" w:rsidRPr="001947F7" w:rsidTr="00F91D03">
        <w:trPr>
          <w:trHeight w:val="255"/>
        </w:trPr>
        <w:tc>
          <w:tcPr>
            <w:tcW w:w="2283"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F91D03" w:rsidRPr="00FE6616" w:rsidRDefault="00F91D03" w:rsidP="00256A66">
            <w:pPr>
              <w:spacing w:after="0" w:line="240" w:lineRule="auto"/>
              <w:rPr>
                <w:b/>
                <w:color w:val="000000"/>
                <w:sz w:val="20"/>
                <w:szCs w:val="20"/>
                <w:lang w:eastAsia="cs-CZ"/>
              </w:rPr>
            </w:pPr>
            <w:r w:rsidRPr="00FE6616">
              <w:rPr>
                <w:b/>
                <w:color w:val="000000"/>
                <w:sz w:val="20"/>
                <w:szCs w:val="20"/>
                <w:lang w:eastAsia="cs-CZ"/>
              </w:rPr>
              <w:t>Živě narození</w:t>
            </w:r>
          </w:p>
        </w:tc>
        <w:tc>
          <w:tcPr>
            <w:tcW w:w="1134" w:type="dxa"/>
            <w:tcBorders>
              <w:top w:val="nil"/>
              <w:left w:val="single" w:sz="4" w:space="0" w:color="auto"/>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1 255</w:t>
            </w:r>
          </w:p>
        </w:tc>
        <w:tc>
          <w:tcPr>
            <w:tcW w:w="993" w:type="dxa"/>
            <w:tcBorders>
              <w:top w:val="nil"/>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1 226</w:t>
            </w:r>
          </w:p>
        </w:tc>
        <w:tc>
          <w:tcPr>
            <w:tcW w:w="1134" w:type="dxa"/>
            <w:tcBorders>
              <w:top w:val="nil"/>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1 262</w:t>
            </w:r>
          </w:p>
        </w:tc>
        <w:tc>
          <w:tcPr>
            <w:tcW w:w="992" w:type="dxa"/>
            <w:tcBorders>
              <w:top w:val="nil"/>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1 114</w:t>
            </w:r>
          </w:p>
        </w:tc>
        <w:tc>
          <w:tcPr>
            <w:tcW w:w="992" w:type="dxa"/>
            <w:tcBorders>
              <w:top w:val="single" w:sz="4" w:space="0" w:color="auto"/>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1 102</w:t>
            </w:r>
          </w:p>
        </w:tc>
        <w:tc>
          <w:tcPr>
            <w:tcW w:w="992" w:type="dxa"/>
            <w:tcBorders>
              <w:top w:val="nil"/>
              <w:left w:val="single" w:sz="4" w:space="0" w:color="auto"/>
              <w:bottom w:val="single" w:sz="4" w:space="0" w:color="auto"/>
              <w:right w:val="single" w:sz="8" w:space="0" w:color="auto"/>
            </w:tcBorders>
          </w:tcPr>
          <w:p w:rsidR="00F91D03" w:rsidRPr="00FE6616" w:rsidRDefault="00F90143" w:rsidP="00256A66">
            <w:pPr>
              <w:spacing w:after="0" w:line="240" w:lineRule="auto"/>
              <w:jc w:val="right"/>
              <w:rPr>
                <w:color w:val="000000"/>
                <w:sz w:val="20"/>
                <w:szCs w:val="20"/>
                <w:lang w:eastAsia="cs-CZ"/>
              </w:rPr>
            </w:pPr>
            <w:r>
              <w:rPr>
                <w:color w:val="000000"/>
                <w:sz w:val="20"/>
                <w:szCs w:val="20"/>
                <w:lang w:eastAsia="cs-CZ"/>
              </w:rPr>
              <w:t xml:space="preserve">936 </w:t>
            </w:r>
          </w:p>
        </w:tc>
      </w:tr>
      <w:tr w:rsidR="00F91D03" w:rsidRPr="001947F7" w:rsidTr="00F91D03">
        <w:trPr>
          <w:trHeight w:val="255"/>
        </w:trPr>
        <w:tc>
          <w:tcPr>
            <w:tcW w:w="2283"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F91D03" w:rsidRPr="00FE6616" w:rsidRDefault="00F91D03" w:rsidP="00256A66">
            <w:pPr>
              <w:spacing w:after="0" w:line="240" w:lineRule="auto"/>
              <w:rPr>
                <w:b/>
                <w:color w:val="000000"/>
                <w:sz w:val="20"/>
                <w:szCs w:val="20"/>
                <w:lang w:eastAsia="cs-CZ"/>
              </w:rPr>
            </w:pPr>
            <w:r w:rsidRPr="00FE6616">
              <w:rPr>
                <w:b/>
                <w:color w:val="000000"/>
                <w:sz w:val="20"/>
                <w:szCs w:val="20"/>
                <w:lang w:eastAsia="cs-CZ"/>
              </w:rPr>
              <w:t>Zemřelí</w:t>
            </w:r>
          </w:p>
        </w:tc>
        <w:tc>
          <w:tcPr>
            <w:tcW w:w="1134" w:type="dxa"/>
            <w:tcBorders>
              <w:top w:val="nil"/>
              <w:left w:val="single" w:sz="4" w:space="0" w:color="auto"/>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986</w:t>
            </w:r>
          </w:p>
        </w:tc>
        <w:tc>
          <w:tcPr>
            <w:tcW w:w="993" w:type="dxa"/>
            <w:tcBorders>
              <w:top w:val="nil"/>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1 092</w:t>
            </w:r>
          </w:p>
        </w:tc>
        <w:tc>
          <w:tcPr>
            <w:tcW w:w="1134" w:type="dxa"/>
            <w:tcBorders>
              <w:top w:val="nil"/>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1 054</w:t>
            </w:r>
          </w:p>
        </w:tc>
        <w:tc>
          <w:tcPr>
            <w:tcW w:w="992" w:type="dxa"/>
            <w:tcBorders>
              <w:top w:val="nil"/>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1 016</w:t>
            </w:r>
          </w:p>
        </w:tc>
        <w:tc>
          <w:tcPr>
            <w:tcW w:w="992" w:type="dxa"/>
            <w:tcBorders>
              <w:top w:val="single" w:sz="4" w:space="0" w:color="auto"/>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1 196</w:t>
            </w:r>
          </w:p>
        </w:tc>
        <w:tc>
          <w:tcPr>
            <w:tcW w:w="992" w:type="dxa"/>
            <w:tcBorders>
              <w:top w:val="nil"/>
              <w:left w:val="single" w:sz="4" w:space="0" w:color="auto"/>
              <w:bottom w:val="single" w:sz="4" w:space="0" w:color="auto"/>
              <w:right w:val="single" w:sz="8" w:space="0" w:color="auto"/>
            </w:tcBorders>
          </w:tcPr>
          <w:p w:rsidR="00F91D03" w:rsidRPr="00FE6616" w:rsidRDefault="00F90143" w:rsidP="00256A66">
            <w:pPr>
              <w:spacing w:after="0" w:line="240" w:lineRule="auto"/>
              <w:jc w:val="right"/>
              <w:rPr>
                <w:color w:val="000000"/>
                <w:sz w:val="20"/>
                <w:szCs w:val="20"/>
                <w:lang w:eastAsia="cs-CZ"/>
              </w:rPr>
            </w:pPr>
            <w:r>
              <w:rPr>
                <w:color w:val="000000"/>
                <w:sz w:val="20"/>
                <w:szCs w:val="20"/>
                <w:lang w:eastAsia="cs-CZ"/>
              </w:rPr>
              <w:t>1 056</w:t>
            </w:r>
          </w:p>
        </w:tc>
      </w:tr>
      <w:tr w:rsidR="00F91D03" w:rsidRPr="001947F7" w:rsidTr="00F91D03">
        <w:trPr>
          <w:trHeight w:val="255"/>
        </w:trPr>
        <w:tc>
          <w:tcPr>
            <w:tcW w:w="2283"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F91D03" w:rsidRPr="00FE6616" w:rsidRDefault="00F91D03" w:rsidP="00256A66">
            <w:pPr>
              <w:spacing w:after="0" w:line="240" w:lineRule="auto"/>
              <w:rPr>
                <w:b/>
                <w:color w:val="000000"/>
                <w:sz w:val="20"/>
                <w:szCs w:val="20"/>
                <w:lang w:eastAsia="cs-CZ"/>
              </w:rPr>
            </w:pPr>
            <w:r w:rsidRPr="00FE6616">
              <w:rPr>
                <w:b/>
                <w:color w:val="000000"/>
                <w:sz w:val="20"/>
                <w:szCs w:val="20"/>
                <w:lang w:eastAsia="cs-CZ"/>
              </w:rPr>
              <w:t>Přistěhovalí</w:t>
            </w:r>
          </w:p>
        </w:tc>
        <w:tc>
          <w:tcPr>
            <w:tcW w:w="1134" w:type="dxa"/>
            <w:tcBorders>
              <w:top w:val="nil"/>
              <w:left w:val="single" w:sz="4" w:space="0" w:color="auto"/>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2 420</w:t>
            </w:r>
          </w:p>
        </w:tc>
        <w:tc>
          <w:tcPr>
            <w:tcW w:w="993" w:type="dxa"/>
            <w:tcBorders>
              <w:top w:val="nil"/>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2 424</w:t>
            </w:r>
          </w:p>
        </w:tc>
        <w:tc>
          <w:tcPr>
            <w:tcW w:w="1134" w:type="dxa"/>
            <w:tcBorders>
              <w:top w:val="nil"/>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2 416</w:t>
            </w:r>
          </w:p>
        </w:tc>
        <w:tc>
          <w:tcPr>
            <w:tcW w:w="992" w:type="dxa"/>
            <w:tcBorders>
              <w:top w:val="nil"/>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2 688</w:t>
            </w:r>
          </w:p>
        </w:tc>
        <w:tc>
          <w:tcPr>
            <w:tcW w:w="992" w:type="dxa"/>
            <w:tcBorders>
              <w:top w:val="single" w:sz="4" w:space="0" w:color="auto"/>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2 411</w:t>
            </w:r>
          </w:p>
        </w:tc>
        <w:tc>
          <w:tcPr>
            <w:tcW w:w="992" w:type="dxa"/>
            <w:tcBorders>
              <w:top w:val="nil"/>
              <w:left w:val="single" w:sz="4" w:space="0" w:color="auto"/>
              <w:bottom w:val="single" w:sz="4" w:space="0" w:color="auto"/>
              <w:right w:val="single" w:sz="8" w:space="0" w:color="auto"/>
            </w:tcBorders>
          </w:tcPr>
          <w:p w:rsidR="00F91D03" w:rsidRPr="00FE6616" w:rsidRDefault="00F90143" w:rsidP="00256A66">
            <w:pPr>
              <w:spacing w:after="0" w:line="240" w:lineRule="auto"/>
              <w:jc w:val="right"/>
              <w:rPr>
                <w:color w:val="000000"/>
                <w:sz w:val="20"/>
                <w:szCs w:val="20"/>
                <w:lang w:eastAsia="cs-CZ"/>
              </w:rPr>
            </w:pPr>
            <w:r>
              <w:rPr>
                <w:color w:val="000000"/>
                <w:sz w:val="20"/>
                <w:szCs w:val="20"/>
                <w:lang w:eastAsia="cs-CZ"/>
              </w:rPr>
              <w:t>3 337</w:t>
            </w:r>
          </w:p>
        </w:tc>
      </w:tr>
      <w:tr w:rsidR="00F91D03" w:rsidRPr="001947F7" w:rsidTr="00F91D03">
        <w:trPr>
          <w:trHeight w:val="255"/>
        </w:trPr>
        <w:tc>
          <w:tcPr>
            <w:tcW w:w="2283"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F91D03" w:rsidRPr="00FE6616" w:rsidRDefault="00F91D03" w:rsidP="00256A66">
            <w:pPr>
              <w:spacing w:after="0" w:line="240" w:lineRule="auto"/>
              <w:rPr>
                <w:b/>
                <w:color w:val="000000"/>
                <w:sz w:val="20"/>
                <w:szCs w:val="20"/>
                <w:lang w:eastAsia="cs-CZ"/>
              </w:rPr>
            </w:pPr>
            <w:r w:rsidRPr="00FE6616">
              <w:rPr>
                <w:b/>
                <w:color w:val="000000"/>
                <w:sz w:val="20"/>
                <w:szCs w:val="20"/>
                <w:lang w:eastAsia="cs-CZ"/>
              </w:rPr>
              <w:t>Vystěhovalí</w:t>
            </w:r>
          </w:p>
        </w:tc>
        <w:tc>
          <w:tcPr>
            <w:tcW w:w="1134" w:type="dxa"/>
            <w:tcBorders>
              <w:top w:val="nil"/>
              <w:left w:val="single" w:sz="4" w:space="0" w:color="auto"/>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2 465</w:t>
            </w:r>
          </w:p>
        </w:tc>
        <w:tc>
          <w:tcPr>
            <w:tcW w:w="993" w:type="dxa"/>
            <w:tcBorders>
              <w:top w:val="nil"/>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2 442</w:t>
            </w:r>
          </w:p>
        </w:tc>
        <w:tc>
          <w:tcPr>
            <w:tcW w:w="1134" w:type="dxa"/>
            <w:tcBorders>
              <w:top w:val="nil"/>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2 595</w:t>
            </w:r>
          </w:p>
        </w:tc>
        <w:tc>
          <w:tcPr>
            <w:tcW w:w="992" w:type="dxa"/>
            <w:tcBorders>
              <w:top w:val="nil"/>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2 646</w:t>
            </w:r>
          </w:p>
        </w:tc>
        <w:tc>
          <w:tcPr>
            <w:tcW w:w="992" w:type="dxa"/>
            <w:tcBorders>
              <w:top w:val="single" w:sz="4" w:space="0" w:color="auto"/>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2 466</w:t>
            </w:r>
          </w:p>
        </w:tc>
        <w:tc>
          <w:tcPr>
            <w:tcW w:w="992" w:type="dxa"/>
            <w:tcBorders>
              <w:top w:val="nil"/>
              <w:left w:val="single" w:sz="4" w:space="0" w:color="auto"/>
              <w:bottom w:val="single" w:sz="4" w:space="0" w:color="auto"/>
              <w:right w:val="single" w:sz="8" w:space="0" w:color="auto"/>
            </w:tcBorders>
          </w:tcPr>
          <w:p w:rsidR="00F91D03" w:rsidRPr="00FE6616" w:rsidRDefault="00F90143" w:rsidP="00256A66">
            <w:pPr>
              <w:spacing w:after="0" w:line="240" w:lineRule="auto"/>
              <w:jc w:val="right"/>
              <w:rPr>
                <w:color w:val="000000"/>
                <w:sz w:val="20"/>
                <w:szCs w:val="20"/>
                <w:lang w:eastAsia="cs-CZ"/>
              </w:rPr>
            </w:pPr>
            <w:r>
              <w:rPr>
                <w:color w:val="000000"/>
                <w:sz w:val="20"/>
                <w:szCs w:val="20"/>
                <w:lang w:eastAsia="cs-CZ"/>
              </w:rPr>
              <w:t>2 749</w:t>
            </w:r>
          </w:p>
        </w:tc>
      </w:tr>
      <w:tr w:rsidR="00F91D03" w:rsidRPr="001947F7" w:rsidTr="00F91D03">
        <w:trPr>
          <w:trHeight w:val="255"/>
        </w:trPr>
        <w:tc>
          <w:tcPr>
            <w:tcW w:w="1118" w:type="dxa"/>
            <w:vMerge w:val="restart"/>
            <w:tcBorders>
              <w:top w:val="single" w:sz="4" w:space="0" w:color="auto"/>
              <w:left w:val="single" w:sz="8" w:space="0" w:color="auto"/>
              <w:bottom w:val="single" w:sz="8" w:space="0" w:color="auto"/>
              <w:right w:val="single" w:sz="4" w:space="0" w:color="auto"/>
            </w:tcBorders>
            <w:shd w:val="clear" w:color="auto" w:fill="D9D9D9"/>
            <w:vAlign w:val="center"/>
          </w:tcPr>
          <w:p w:rsidR="00F91D03" w:rsidRPr="00FE6616" w:rsidRDefault="00F91D03" w:rsidP="00256A66">
            <w:pPr>
              <w:spacing w:after="0" w:line="240" w:lineRule="auto"/>
              <w:rPr>
                <w:b/>
                <w:color w:val="000000"/>
                <w:sz w:val="20"/>
                <w:szCs w:val="20"/>
                <w:lang w:eastAsia="cs-CZ"/>
              </w:rPr>
            </w:pPr>
            <w:r w:rsidRPr="00FE6616">
              <w:rPr>
                <w:b/>
                <w:color w:val="000000"/>
                <w:sz w:val="20"/>
                <w:szCs w:val="20"/>
                <w:lang w:eastAsia="cs-CZ"/>
              </w:rPr>
              <w:t xml:space="preserve">Přírůstek </w:t>
            </w:r>
            <w:r w:rsidRPr="00FE6616">
              <w:rPr>
                <w:b/>
                <w:color w:val="000000"/>
                <w:sz w:val="20"/>
                <w:szCs w:val="20"/>
                <w:lang w:eastAsia="cs-CZ"/>
              </w:rPr>
              <w:br/>
              <w:t>(úbytek)</w:t>
            </w:r>
          </w:p>
        </w:tc>
        <w:tc>
          <w:tcPr>
            <w:tcW w:w="1165" w:type="dxa"/>
            <w:tcBorders>
              <w:top w:val="single" w:sz="4" w:space="0" w:color="auto"/>
              <w:left w:val="single" w:sz="4" w:space="0" w:color="auto"/>
              <w:bottom w:val="single" w:sz="4" w:space="0" w:color="auto"/>
              <w:right w:val="single" w:sz="4" w:space="0" w:color="auto"/>
            </w:tcBorders>
            <w:shd w:val="clear" w:color="auto" w:fill="D9D9D9"/>
            <w:vAlign w:val="center"/>
          </w:tcPr>
          <w:p w:rsidR="00F91D03" w:rsidRPr="00FE6616" w:rsidRDefault="00F91D03" w:rsidP="00256A66">
            <w:pPr>
              <w:spacing w:after="0" w:line="240" w:lineRule="auto"/>
              <w:rPr>
                <w:b/>
                <w:color w:val="000000"/>
                <w:sz w:val="20"/>
                <w:szCs w:val="20"/>
                <w:lang w:eastAsia="cs-CZ"/>
              </w:rPr>
            </w:pPr>
            <w:r w:rsidRPr="00FE6616">
              <w:rPr>
                <w:b/>
                <w:color w:val="000000"/>
                <w:sz w:val="20"/>
                <w:szCs w:val="20"/>
                <w:lang w:eastAsia="cs-CZ"/>
              </w:rPr>
              <w:t>přirozený</w:t>
            </w:r>
          </w:p>
        </w:tc>
        <w:tc>
          <w:tcPr>
            <w:tcW w:w="1134" w:type="dxa"/>
            <w:tcBorders>
              <w:top w:val="single" w:sz="4" w:space="0" w:color="auto"/>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269</w:t>
            </w:r>
          </w:p>
        </w:tc>
        <w:tc>
          <w:tcPr>
            <w:tcW w:w="993" w:type="dxa"/>
            <w:tcBorders>
              <w:top w:val="single" w:sz="4" w:space="0" w:color="auto"/>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134</w:t>
            </w:r>
          </w:p>
        </w:tc>
        <w:tc>
          <w:tcPr>
            <w:tcW w:w="1134" w:type="dxa"/>
            <w:tcBorders>
              <w:top w:val="single" w:sz="4" w:space="0" w:color="auto"/>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208</w:t>
            </w:r>
          </w:p>
        </w:tc>
        <w:tc>
          <w:tcPr>
            <w:tcW w:w="992" w:type="dxa"/>
            <w:tcBorders>
              <w:top w:val="single" w:sz="4" w:space="0" w:color="auto"/>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98</w:t>
            </w:r>
          </w:p>
        </w:tc>
        <w:tc>
          <w:tcPr>
            <w:tcW w:w="992" w:type="dxa"/>
            <w:tcBorders>
              <w:top w:val="single" w:sz="4" w:space="0" w:color="auto"/>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-94</w:t>
            </w:r>
          </w:p>
        </w:tc>
        <w:tc>
          <w:tcPr>
            <w:tcW w:w="992" w:type="dxa"/>
            <w:tcBorders>
              <w:top w:val="single" w:sz="4" w:space="0" w:color="auto"/>
              <w:left w:val="single" w:sz="4" w:space="0" w:color="auto"/>
              <w:bottom w:val="single" w:sz="4" w:space="0" w:color="auto"/>
              <w:right w:val="single" w:sz="8" w:space="0" w:color="auto"/>
            </w:tcBorders>
          </w:tcPr>
          <w:p w:rsidR="00F91D03" w:rsidRPr="00FE6616" w:rsidRDefault="00F90143" w:rsidP="00256A66">
            <w:pPr>
              <w:spacing w:after="0" w:line="240" w:lineRule="auto"/>
              <w:jc w:val="right"/>
              <w:rPr>
                <w:color w:val="000000"/>
                <w:sz w:val="20"/>
                <w:szCs w:val="20"/>
                <w:lang w:eastAsia="cs-CZ"/>
              </w:rPr>
            </w:pPr>
            <w:r>
              <w:rPr>
                <w:color w:val="000000"/>
                <w:sz w:val="20"/>
                <w:szCs w:val="20"/>
                <w:lang w:eastAsia="cs-CZ"/>
              </w:rPr>
              <w:t>-120</w:t>
            </w:r>
          </w:p>
        </w:tc>
      </w:tr>
      <w:tr w:rsidR="00F91D03" w:rsidRPr="001947F7" w:rsidTr="00F91D03">
        <w:trPr>
          <w:trHeight w:val="255"/>
        </w:trPr>
        <w:tc>
          <w:tcPr>
            <w:tcW w:w="1118" w:type="dxa"/>
            <w:vMerge/>
            <w:tcBorders>
              <w:top w:val="single" w:sz="4" w:space="0" w:color="auto"/>
              <w:left w:val="single" w:sz="8" w:space="0" w:color="auto"/>
              <w:bottom w:val="single" w:sz="8" w:space="0" w:color="auto"/>
              <w:right w:val="single" w:sz="4" w:space="0" w:color="auto"/>
            </w:tcBorders>
            <w:shd w:val="clear" w:color="auto" w:fill="D9D9D9"/>
            <w:vAlign w:val="center"/>
          </w:tcPr>
          <w:p w:rsidR="00F91D03" w:rsidRPr="00FE6616" w:rsidRDefault="00F91D03" w:rsidP="00256A66">
            <w:pPr>
              <w:spacing w:after="0" w:line="240" w:lineRule="auto"/>
              <w:rPr>
                <w:b/>
                <w:color w:val="000000"/>
                <w:sz w:val="20"/>
                <w:szCs w:val="20"/>
                <w:lang w:eastAsia="cs-CZ"/>
              </w:rPr>
            </w:pPr>
          </w:p>
        </w:tc>
        <w:tc>
          <w:tcPr>
            <w:tcW w:w="1165" w:type="dxa"/>
            <w:tcBorders>
              <w:top w:val="nil"/>
              <w:left w:val="single" w:sz="4" w:space="0" w:color="auto"/>
              <w:bottom w:val="single" w:sz="4" w:space="0" w:color="auto"/>
              <w:right w:val="single" w:sz="4" w:space="0" w:color="auto"/>
            </w:tcBorders>
            <w:shd w:val="clear" w:color="auto" w:fill="D9D9D9"/>
            <w:vAlign w:val="center"/>
          </w:tcPr>
          <w:p w:rsidR="00F91D03" w:rsidRPr="00FE6616" w:rsidRDefault="00F91D03" w:rsidP="00256A66">
            <w:pPr>
              <w:spacing w:after="0" w:line="240" w:lineRule="auto"/>
              <w:rPr>
                <w:b/>
                <w:color w:val="000000"/>
                <w:sz w:val="20"/>
                <w:szCs w:val="20"/>
                <w:lang w:eastAsia="cs-CZ"/>
              </w:rPr>
            </w:pPr>
            <w:r w:rsidRPr="00FE6616">
              <w:rPr>
                <w:b/>
                <w:color w:val="000000"/>
                <w:sz w:val="20"/>
                <w:szCs w:val="20"/>
                <w:lang w:eastAsia="cs-CZ"/>
              </w:rPr>
              <w:t>stěhováním</w:t>
            </w:r>
          </w:p>
        </w:tc>
        <w:tc>
          <w:tcPr>
            <w:tcW w:w="1134" w:type="dxa"/>
            <w:tcBorders>
              <w:top w:val="nil"/>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-45</w:t>
            </w:r>
          </w:p>
        </w:tc>
        <w:tc>
          <w:tcPr>
            <w:tcW w:w="993" w:type="dxa"/>
            <w:tcBorders>
              <w:top w:val="nil"/>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-18</w:t>
            </w:r>
          </w:p>
        </w:tc>
        <w:tc>
          <w:tcPr>
            <w:tcW w:w="1134" w:type="dxa"/>
            <w:tcBorders>
              <w:top w:val="nil"/>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-179</w:t>
            </w:r>
          </w:p>
        </w:tc>
        <w:tc>
          <w:tcPr>
            <w:tcW w:w="992" w:type="dxa"/>
            <w:tcBorders>
              <w:top w:val="nil"/>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42</w:t>
            </w:r>
          </w:p>
        </w:tc>
        <w:tc>
          <w:tcPr>
            <w:tcW w:w="992" w:type="dxa"/>
            <w:tcBorders>
              <w:top w:val="single" w:sz="4" w:space="0" w:color="auto"/>
              <w:left w:val="nil"/>
              <w:bottom w:val="single" w:sz="4"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-55</w:t>
            </w:r>
          </w:p>
        </w:tc>
        <w:tc>
          <w:tcPr>
            <w:tcW w:w="992" w:type="dxa"/>
            <w:tcBorders>
              <w:top w:val="nil"/>
              <w:left w:val="single" w:sz="4" w:space="0" w:color="auto"/>
              <w:bottom w:val="single" w:sz="4" w:space="0" w:color="auto"/>
              <w:right w:val="single" w:sz="8" w:space="0" w:color="auto"/>
            </w:tcBorders>
          </w:tcPr>
          <w:p w:rsidR="00F91D03" w:rsidRPr="00FE6616" w:rsidRDefault="00F90143" w:rsidP="00256A66">
            <w:pPr>
              <w:spacing w:after="0" w:line="240" w:lineRule="auto"/>
              <w:jc w:val="right"/>
              <w:rPr>
                <w:color w:val="000000"/>
                <w:sz w:val="20"/>
                <w:szCs w:val="20"/>
                <w:lang w:eastAsia="cs-CZ"/>
              </w:rPr>
            </w:pPr>
            <w:r>
              <w:rPr>
                <w:color w:val="000000"/>
                <w:sz w:val="20"/>
                <w:szCs w:val="20"/>
                <w:lang w:eastAsia="cs-CZ"/>
              </w:rPr>
              <w:t>588</w:t>
            </w:r>
          </w:p>
        </w:tc>
      </w:tr>
      <w:tr w:rsidR="00F91D03" w:rsidRPr="001947F7" w:rsidTr="00F91D03">
        <w:trPr>
          <w:trHeight w:val="255"/>
        </w:trPr>
        <w:tc>
          <w:tcPr>
            <w:tcW w:w="1118" w:type="dxa"/>
            <w:vMerge/>
            <w:tcBorders>
              <w:top w:val="single" w:sz="4" w:space="0" w:color="auto"/>
              <w:left w:val="single" w:sz="8" w:space="0" w:color="auto"/>
              <w:bottom w:val="single" w:sz="8" w:space="0" w:color="auto"/>
              <w:right w:val="single" w:sz="4" w:space="0" w:color="auto"/>
            </w:tcBorders>
            <w:shd w:val="clear" w:color="auto" w:fill="D9D9D9"/>
            <w:vAlign w:val="center"/>
          </w:tcPr>
          <w:p w:rsidR="00F91D03" w:rsidRPr="00FE6616" w:rsidRDefault="00F91D03" w:rsidP="00256A66">
            <w:pPr>
              <w:spacing w:after="0" w:line="240" w:lineRule="auto"/>
              <w:rPr>
                <w:b/>
                <w:color w:val="000000"/>
                <w:sz w:val="20"/>
                <w:szCs w:val="20"/>
                <w:lang w:eastAsia="cs-CZ"/>
              </w:rPr>
            </w:pPr>
          </w:p>
        </w:tc>
        <w:tc>
          <w:tcPr>
            <w:tcW w:w="1165" w:type="dxa"/>
            <w:tcBorders>
              <w:top w:val="nil"/>
              <w:left w:val="single" w:sz="4" w:space="0" w:color="auto"/>
              <w:bottom w:val="single" w:sz="8" w:space="0" w:color="auto"/>
              <w:right w:val="single" w:sz="4" w:space="0" w:color="auto"/>
            </w:tcBorders>
            <w:shd w:val="clear" w:color="auto" w:fill="D9D9D9"/>
            <w:vAlign w:val="center"/>
          </w:tcPr>
          <w:p w:rsidR="00F91D03" w:rsidRPr="00FE6616" w:rsidRDefault="00F91D03" w:rsidP="00256A66">
            <w:pPr>
              <w:spacing w:after="0" w:line="240" w:lineRule="auto"/>
              <w:rPr>
                <w:b/>
                <w:color w:val="000000"/>
                <w:sz w:val="20"/>
                <w:szCs w:val="20"/>
                <w:lang w:eastAsia="cs-CZ"/>
              </w:rPr>
            </w:pPr>
            <w:r w:rsidRPr="00FE6616">
              <w:rPr>
                <w:b/>
                <w:color w:val="000000"/>
                <w:sz w:val="20"/>
                <w:szCs w:val="20"/>
                <w:lang w:eastAsia="cs-CZ"/>
              </w:rPr>
              <w:t>celkový</w:t>
            </w:r>
          </w:p>
        </w:tc>
        <w:tc>
          <w:tcPr>
            <w:tcW w:w="1134" w:type="dxa"/>
            <w:tcBorders>
              <w:top w:val="nil"/>
              <w:left w:val="nil"/>
              <w:bottom w:val="single" w:sz="8"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224</w:t>
            </w:r>
          </w:p>
        </w:tc>
        <w:tc>
          <w:tcPr>
            <w:tcW w:w="993" w:type="dxa"/>
            <w:tcBorders>
              <w:top w:val="nil"/>
              <w:left w:val="nil"/>
              <w:bottom w:val="single" w:sz="8"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116</w:t>
            </w:r>
          </w:p>
        </w:tc>
        <w:tc>
          <w:tcPr>
            <w:tcW w:w="1134" w:type="dxa"/>
            <w:tcBorders>
              <w:top w:val="nil"/>
              <w:left w:val="nil"/>
              <w:bottom w:val="single" w:sz="8"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29</w:t>
            </w:r>
          </w:p>
        </w:tc>
        <w:tc>
          <w:tcPr>
            <w:tcW w:w="992" w:type="dxa"/>
            <w:tcBorders>
              <w:top w:val="nil"/>
              <w:left w:val="nil"/>
              <w:bottom w:val="single" w:sz="8"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140</w:t>
            </w:r>
          </w:p>
        </w:tc>
        <w:tc>
          <w:tcPr>
            <w:tcW w:w="992" w:type="dxa"/>
            <w:tcBorders>
              <w:top w:val="single" w:sz="4" w:space="0" w:color="auto"/>
              <w:left w:val="nil"/>
              <w:bottom w:val="single" w:sz="8" w:space="0" w:color="auto"/>
              <w:right w:val="single" w:sz="4" w:space="0" w:color="auto"/>
            </w:tcBorders>
            <w:vAlign w:val="center"/>
          </w:tcPr>
          <w:p w:rsidR="00F91D03" w:rsidRPr="00FE6616" w:rsidRDefault="00F91D03" w:rsidP="00256A66">
            <w:pPr>
              <w:spacing w:after="0" w:line="240" w:lineRule="auto"/>
              <w:jc w:val="right"/>
              <w:rPr>
                <w:color w:val="000000"/>
                <w:sz w:val="20"/>
                <w:szCs w:val="20"/>
                <w:lang w:eastAsia="cs-CZ"/>
              </w:rPr>
            </w:pPr>
            <w:r w:rsidRPr="00FE6616">
              <w:rPr>
                <w:color w:val="000000"/>
                <w:sz w:val="20"/>
                <w:szCs w:val="20"/>
                <w:lang w:eastAsia="cs-CZ"/>
              </w:rPr>
              <w:t>-149</w:t>
            </w:r>
          </w:p>
        </w:tc>
        <w:tc>
          <w:tcPr>
            <w:tcW w:w="992" w:type="dxa"/>
            <w:tcBorders>
              <w:top w:val="nil"/>
              <w:left w:val="single" w:sz="4" w:space="0" w:color="auto"/>
              <w:bottom w:val="single" w:sz="8" w:space="0" w:color="auto"/>
              <w:right w:val="single" w:sz="8" w:space="0" w:color="auto"/>
            </w:tcBorders>
          </w:tcPr>
          <w:p w:rsidR="00F91D03" w:rsidRPr="00FE6616" w:rsidRDefault="00F90143" w:rsidP="00256A66">
            <w:pPr>
              <w:spacing w:after="0" w:line="240" w:lineRule="auto"/>
              <w:jc w:val="right"/>
              <w:rPr>
                <w:color w:val="000000"/>
                <w:sz w:val="20"/>
                <w:szCs w:val="20"/>
                <w:lang w:eastAsia="cs-CZ"/>
              </w:rPr>
            </w:pPr>
            <w:r>
              <w:rPr>
                <w:color w:val="000000"/>
                <w:sz w:val="20"/>
                <w:szCs w:val="20"/>
                <w:lang w:eastAsia="cs-CZ"/>
              </w:rPr>
              <w:t>468</w:t>
            </w:r>
          </w:p>
        </w:tc>
      </w:tr>
    </w:tbl>
    <w:p w:rsidR="00F91D03" w:rsidRPr="005C0DB8" w:rsidRDefault="00F91D03" w:rsidP="00F91D03">
      <w:pPr>
        <w:rPr>
          <w:rFonts w:ascii="Times New Roman" w:hAnsi="Times New Roman" w:cs="Times New Roman"/>
          <w:i/>
          <w:sz w:val="20"/>
          <w:szCs w:val="20"/>
        </w:rPr>
      </w:pPr>
      <w:r w:rsidRPr="005C0DB8">
        <w:rPr>
          <w:rFonts w:ascii="Times New Roman" w:hAnsi="Times New Roman" w:cs="Times New Roman"/>
          <w:i/>
          <w:sz w:val="20"/>
          <w:szCs w:val="20"/>
        </w:rPr>
        <w:t>Zdroj: ČSÚ, 202</w:t>
      </w:r>
      <w:r w:rsidR="00FE6ACC" w:rsidRPr="005C0DB8">
        <w:rPr>
          <w:rFonts w:ascii="Times New Roman" w:hAnsi="Times New Roman" w:cs="Times New Roman"/>
          <w:i/>
          <w:sz w:val="20"/>
          <w:szCs w:val="20"/>
        </w:rPr>
        <w:t>4</w:t>
      </w:r>
    </w:p>
    <w:p w:rsidR="00FE6ACC" w:rsidRPr="00FE6ACC" w:rsidRDefault="00FE6ACC" w:rsidP="004A3002">
      <w:pPr>
        <w:ind w:right="223"/>
        <w:rPr>
          <w:rFonts w:ascii="Times New Roman" w:hAnsi="Times New Roman" w:cs="Times New Roman"/>
          <w:sz w:val="24"/>
          <w:szCs w:val="24"/>
        </w:rPr>
      </w:pPr>
      <w:r w:rsidRPr="00FE6ACC">
        <w:rPr>
          <w:rFonts w:ascii="Times New Roman" w:hAnsi="Times New Roman" w:cs="Times New Roman"/>
          <w:color w:val="181717"/>
          <w:sz w:val="24"/>
          <w:szCs w:val="24"/>
        </w:rPr>
        <w:t xml:space="preserve">Dle demografické prognózy do roku 2034 </w:t>
      </w:r>
      <w:r>
        <w:rPr>
          <w:rFonts w:ascii="Times New Roman" w:hAnsi="Times New Roman" w:cs="Times New Roman"/>
          <w:color w:val="181717"/>
          <w:sz w:val="24"/>
          <w:szCs w:val="24"/>
        </w:rPr>
        <w:t>ve městě Olomouci</w:t>
      </w:r>
      <w:r w:rsidRPr="00FE6ACC">
        <w:rPr>
          <w:rFonts w:ascii="Times New Roman" w:hAnsi="Times New Roman" w:cs="Times New Roman"/>
          <w:color w:val="181717"/>
          <w:sz w:val="24"/>
          <w:szCs w:val="24"/>
        </w:rPr>
        <w:t xml:space="preserve"> klesne počet obyvatel ve věku 0-14 let o 5 %, osob v produktivním věku o 4 %, počet seniorů vzroste o 8 %. Více viz tabulka níže. </w:t>
      </w:r>
      <w:r w:rsidR="00531E45">
        <w:rPr>
          <w:rFonts w:ascii="Times New Roman" w:hAnsi="Times New Roman" w:cs="Times New Roman"/>
          <w:color w:val="181717"/>
          <w:sz w:val="24"/>
          <w:szCs w:val="24"/>
        </w:rPr>
        <w:t xml:space="preserve"> </w:t>
      </w:r>
    </w:p>
    <w:p w:rsidR="00FE6ACC" w:rsidRPr="00BC0523" w:rsidRDefault="00FE6ACC" w:rsidP="00FE6ACC">
      <w:pPr>
        <w:pStyle w:val="Titulek"/>
        <w:jc w:val="left"/>
      </w:pPr>
      <w:r w:rsidRPr="00BC0523">
        <w:t xml:space="preserve">Tabulka </w:t>
      </w:r>
      <w:r w:rsidR="00AE1E58">
        <w:t>2</w:t>
      </w:r>
      <w:r w:rsidRPr="00BC0523">
        <w:t>: Srovnání věkových skupin obyvatelstva mezi roky 2024 a 2034</w:t>
      </w:r>
    </w:p>
    <w:p w:rsidR="00FE6ACC" w:rsidRPr="00BC0523" w:rsidRDefault="00FE6ACC" w:rsidP="00FE6ACC">
      <w:r>
        <w:rPr>
          <w:noProof/>
          <w:lang w:eastAsia="cs-CZ"/>
        </w:rPr>
        <w:drawing>
          <wp:inline distT="0" distB="0" distL="0" distR="0">
            <wp:extent cx="5753100" cy="18161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816100"/>
                    </a:xfrm>
                    <a:prstGeom prst="rect">
                      <a:avLst/>
                    </a:prstGeom>
                    <a:noFill/>
                    <a:ln>
                      <a:noFill/>
                    </a:ln>
                  </pic:spPr>
                </pic:pic>
              </a:graphicData>
            </a:graphic>
          </wp:inline>
        </w:drawing>
      </w:r>
    </w:p>
    <w:p w:rsidR="00FE6ACC" w:rsidRPr="005C0DB8" w:rsidRDefault="00FE6ACC" w:rsidP="005C0DB8">
      <w:pPr>
        <w:pStyle w:val="Zdroje"/>
        <w:spacing w:after="0"/>
        <w:rPr>
          <w:rFonts w:ascii="Times New Roman" w:hAnsi="Times New Roman"/>
          <w:sz w:val="20"/>
          <w:szCs w:val="20"/>
        </w:rPr>
      </w:pPr>
      <w:r w:rsidRPr="005C0DB8">
        <w:rPr>
          <w:rFonts w:ascii="Times New Roman" w:hAnsi="Times New Roman"/>
          <w:sz w:val="20"/>
          <w:szCs w:val="20"/>
        </w:rPr>
        <w:t xml:space="preserve">Zdroj: ČSÚ, 2024, Běžná evidence obyvatelstva, demografická prognóza obyvatel, zpracování ACCENDO – Centrum pro vědu a </w:t>
      </w:r>
      <w:proofErr w:type="gramStart"/>
      <w:r w:rsidRPr="005C0DB8">
        <w:rPr>
          <w:rFonts w:ascii="Times New Roman" w:hAnsi="Times New Roman"/>
          <w:sz w:val="20"/>
          <w:szCs w:val="20"/>
        </w:rPr>
        <w:t xml:space="preserve">výzkum, </w:t>
      </w:r>
      <w:proofErr w:type="spellStart"/>
      <w:r w:rsidRPr="005C0DB8">
        <w:rPr>
          <w:rFonts w:ascii="Times New Roman" w:hAnsi="Times New Roman"/>
          <w:sz w:val="20"/>
          <w:szCs w:val="20"/>
        </w:rPr>
        <w:t>z.ú</w:t>
      </w:r>
      <w:proofErr w:type="spellEnd"/>
      <w:r w:rsidRPr="005C0DB8">
        <w:rPr>
          <w:rFonts w:ascii="Times New Roman" w:hAnsi="Times New Roman"/>
          <w:sz w:val="20"/>
          <w:szCs w:val="20"/>
        </w:rPr>
        <w:t>.</w:t>
      </w:r>
      <w:proofErr w:type="gramEnd"/>
    </w:p>
    <w:p w:rsidR="005C0DB8" w:rsidRDefault="005C0DB8" w:rsidP="00423483">
      <w:pPr>
        <w:spacing w:after="126"/>
        <w:ind w:left="-4" w:right="208" w:hanging="10"/>
        <w:jc w:val="both"/>
        <w:rPr>
          <w:rFonts w:ascii="Times New Roman" w:hAnsi="Times New Roman" w:cs="Times New Roman"/>
          <w:color w:val="181717"/>
          <w:sz w:val="24"/>
          <w:szCs w:val="24"/>
        </w:rPr>
      </w:pPr>
    </w:p>
    <w:p w:rsidR="00BC7881" w:rsidRDefault="00BC7881" w:rsidP="004A3002">
      <w:pPr>
        <w:spacing w:after="126"/>
        <w:ind w:left="-4" w:right="208" w:hanging="10"/>
        <w:rPr>
          <w:rFonts w:ascii="Times New Roman" w:hAnsi="Times New Roman" w:cs="Times New Roman"/>
          <w:color w:val="181717"/>
          <w:sz w:val="24"/>
          <w:szCs w:val="24"/>
        </w:rPr>
      </w:pPr>
      <w:r w:rsidRPr="00BC7881">
        <w:rPr>
          <w:rFonts w:ascii="Times New Roman" w:hAnsi="Times New Roman" w:cs="Times New Roman"/>
          <w:color w:val="181717"/>
          <w:sz w:val="24"/>
          <w:szCs w:val="24"/>
        </w:rPr>
        <w:t>Podíl dětské složky obyvatelstva ve městě se sníží ze současných 16,3</w:t>
      </w:r>
      <w:r w:rsidR="00583A07">
        <w:rPr>
          <w:rFonts w:ascii="Times New Roman" w:hAnsi="Times New Roman" w:cs="Times New Roman"/>
          <w:color w:val="181717"/>
          <w:sz w:val="24"/>
          <w:szCs w:val="24"/>
        </w:rPr>
        <w:t xml:space="preserve"> </w:t>
      </w:r>
      <w:r w:rsidRPr="00BC7881">
        <w:rPr>
          <w:rFonts w:ascii="Times New Roman" w:hAnsi="Times New Roman" w:cs="Times New Roman"/>
          <w:color w:val="181717"/>
          <w:sz w:val="24"/>
          <w:szCs w:val="24"/>
        </w:rPr>
        <w:t>% na 15,7</w:t>
      </w:r>
      <w:r w:rsidR="00583A07">
        <w:rPr>
          <w:rFonts w:ascii="Times New Roman" w:hAnsi="Times New Roman" w:cs="Times New Roman"/>
          <w:color w:val="181717"/>
          <w:sz w:val="24"/>
          <w:szCs w:val="24"/>
        </w:rPr>
        <w:t xml:space="preserve"> </w:t>
      </w:r>
      <w:r w:rsidRPr="00BC7881">
        <w:rPr>
          <w:rFonts w:ascii="Times New Roman" w:hAnsi="Times New Roman" w:cs="Times New Roman"/>
          <w:color w:val="181717"/>
          <w:sz w:val="24"/>
          <w:szCs w:val="24"/>
        </w:rPr>
        <w:t xml:space="preserve">%, jedná se o úbytek o 0,6 </w:t>
      </w:r>
      <w:proofErr w:type="spellStart"/>
      <w:proofErr w:type="gramStart"/>
      <w:r w:rsidRPr="00BC7881">
        <w:rPr>
          <w:rFonts w:ascii="Times New Roman" w:hAnsi="Times New Roman" w:cs="Times New Roman"/>
          <w:color w:val="181717"/>
          <w:sz w:val="24"/>
          <w:szCs w:val="24"/>
        </w:rPr>
        <w:t>p.b</w:t>
      </w:r>
      <w:proofErr w:type="spellEnd"/>
      <w:r w:rsidRPr="00BC7881">
        <w:rPr>
          <w:rFonts w:ascii="Times New Roman" w:hAnsi="Times New Roman" w:cs="Times New Roman"/>
          <w:color w:val="181717"/>
          <w:sz w:val="24"/>
          <w:szCs w:val="24"/>
        </w:rPr>
        <w:t>.</w:t>
      </w:r>
      <w:proofErr w:type="gramEnd"/>
      <w:r w:rsidRPr="00BC7881">
        <w:rPr>
          <w:rFonts w:ascii="Times New Roman" w:hAnsi="Times New Roman" w:cs="Times New Roman"/>
          <w:color w:val="181717"/>
          <w:sz w:val="24"/>
          <w:szCs w:val="24"/>
        </w:rPr>
        <w:t xml:space="preserve"> Podíl produktivní složky obyvatelstva </w:t>
      </w:r>
      <w:r w:rsidR="00531E45">
        <w:rPr>
          <w:rFonts w:ascii="Times New Roman" w:hAnsi="Times New Roman" w:cs="Times New Roman"/>
          <w:color w:val="181717"/>
          <w:sz w:val="24"/>
          <w:szCs w:val="24"/>
        </w:rPr>
        <w:t xml:space="preserve">(15-64 let) poklesne o 1,5 </w:t>
      </w:r>
      <w:proofErr w:type="spellStart"/>
      <w:proofErr w:type="gramStart"/>
      <w:r w:rsidR="00531E45">
        <w:rPr>
          <w:rFonts w:ascii="Times New Roman" w:hAnsi="Times New Roman" w:cs="Times New Roman"/>
          <w:color w:val="181717"/>
          <w:sz w:val="24"/>
          <w:szCs w:val="24"/>
        </w:rPr>
        <w:t>p.b</w:t>
      </w:r>
      <w:proofErr w:type="spellEnd"/>
      <w:r w:rsidR="00531E45">
        <w:rPr>
          <w:rFonts w:ascii="Times New Roman" w:hAnsi="Times New Roman" w:cs="Times New Roman"/>
          <w:color w:val="181717"/>
          <w:sz w:val="24"/>
          <w:szCs w:val="24"/>
        </w:rPr>
        <w:t>.</w:t>
      </w:r>
      <w:r w:rsidRPr="00BC7881">
        <w:rPr>
          <w:rFonts w:ascii="Times New Roman" w:hAnsi="Times New Roman" w:cs="Times New Roman"/>
          <w:color w:val="181717"/>
          <w:sz w:val="24"/>
          <w:szCs w:val="24"/>
        </w:rPr>
        <w:t xml:space="preserve"> na</w:t>
      </w:r>
      <w:proofErr w:type="gramEnd"/>
      <w:r w:rsidRPr="00BC7881">
        <w:rPr>
          <w:rFonts w:ascii="Times New Roman" w:hAnsi="Times New Roman" w:cs="Times New Roman"/>
          <w:color w:val="181717"/>
          <w:sz w:val="24"/>
          <w:szCs w:val="24"/>
        </w:rPr>
        <w:t xml:space="preserve"> 60,6 % obyvatelstva, podíl obyvatel ve věku 65 let a více </w:t>
      </w:r>
      <w:r w:rsidR="00531E45">
        <w:rPr>
          <w:rFonts w:ascii="Times New Roman" w:hAnsi="Times New Roman" w:cs="Times New Roman"/>
          <w:color w:val="181717"/>
          <w:sz w:val="24"/>
          <w:szCs w:val="24"/>
        </w:rPr>
        <w:t xml:space="preserve">vzroste dle prognózy o 2,1 </w:t>
      </w:r>
      <w:proofErr w:type="spellStart"/>
      <w:r w:rsidR="00531E45">
        <w:rPr>
          <w:rFonts w:ascii="Times New Roman" w:hAnsi="Times New Roman" w:cs="Times New Roman"/>
          <w:color w:val="181717"/>
          <w:sz w:val="24"/>
          <w:szCs w:val="24"/>
        </w:rPr>
        <w:t>p.b</w:t>
      </w:r>
      <w:proofErr w:type="spellEnd"/>
      <w:r w:rsidR="00531E45">
        <w:rPr>
          <w:rFonts w:ascii="Times New Roman" w:hAnsi="Times New Roman" w:cs="Times New Roman"/>
          <w:color w:val="181717"/>
          <w:sz w:val="24"/>
          <w:szCs w:val="24"/>
        </w:rPr>
        <w:t>.</w:t>
      </w:r>
      <w:r w:rsidRPr="00BC7881">
        <w:rPr>
          <w:rFonts w:ascii="Times New Roman" w:hAnsi="Times New Roman" w:cs="Times New Roman"/>
          <w:color w:val="181717"/>
          <w:sz w:val="24"/>
          <w:szCs w:val="24"/>
        </w:rPr>
        <w:t xml:space="preserve"> na 23,7 %. Přehled změn ve věkových skupinách obyvatelstva v hodnocených územních celcích je znázorněn v tabulce níže. </w:t>
      </w:r>
    </w:p>
    <w:p w:rsidR="00423483" w:rsidRPr="00BC0523" w:rsidRDefault="00423483" w:rsidP="00423483">
      <w:pPr>
        <w:pStyle w:val="Titulek"/>
        <w:jc w:val="left"/>
      </w:pPr>
      <w:r w:rsidRPr="00BC0523">
        <w:lastRenderedPageBreak/>
        <w:t xml:space="preserve">Tabulka </w:t>
      </w:r>
      <w:r w:rsidR="00AE1E58">
        <w:t>3</w:t>
      </w:r>
      <w:r w:rsidRPr="00BC0523">
        <w:t>: Srovnání podílu věkových skupin na celkovém počtu obyvatelstva mezi roky 202</w:t>
      </w:r>
      <w:r>
        <w:t>4</w:t>
      </w:r>
      <w:r w:rsidRPr="00BC0523">
        <w:t xml:space="preserve"> a 203</w:t>
      </w:r>
      <w:r>
        <w:t>4</w:t>
      </w:r>
    </w:p>
    <w:p w:rsidR="00423483" w:rsidRPr="00BC0523" w:rsidRDefault="00423483" w:rsidP="00423483">
      <w:r>
        <w:rPr>
          <w:noProof/>
          <w:lang w:eastAsia="cs-CZ"/>
        </w:rPr>
        <w:drawing>
          <wp:inline distT="0" distB="0" distL="0" distR="0">
            <wp:extent cx="5759450" cy="16827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682750"/>
                    </a:xfrm>
                    <a:prstGeom prst="rect">
                      <a:avLst/>
                    </a:prstGeom>
                    <a:noFill/>
                    <a:ln>
                      <a:noFill/>
                    </a:ln>
                  </pic:spPr>
                </pic:pic>
              </a:graphicData>
            </a:graphic>
          </wp:inline>
        </w:drawing>
      </w:r>
    </w:p>
    <w:p w:rsidR="00423483" w:rsidRPr="005C0DB8" w:rsidRDefault="00423483" w:rsidP="00423483">
      <w:pPr>
        <w:pStyle w:val="Zdroje"/>
        <w:rPr>
          <w:rFonts w:ascii="Times New Roman" w:hAnsi="Times New Roman"/>
          <w:sz w:val="20"/>
          <w:szCs w:val="20"/>
        </w:rPr>
      </w:pPr>
      <w:r w:rsidRPr="005C0DB8">
        <w:rPr>
          <w:rFonts w:ascii="Times New Roman" w:hAnsi="Times New Roman"/>
          <w:sz w:val="20"/>
          <w:szCs w:val="20"/>
        </w:rPr>
        <w:t xml:space="preserve">Zdroj: ČSÚ, 2024, Běžná evidence obyvatelstva, demografická prognóza obyvatel, zpracování ACCENDO – Centrum pro vědu a </w:t>
      </w:r>
      <w:proofErr w:type="gramStart"/>
      <w:r w:rsidRPr="005C0DB8">
        <w:rPr>
          <w:rFonts w:ascii="Times New Roman" w:hAnsi="Times New Roman"/>
          <w:sz w:val="20"/>
          <w:szCs w:val="20"/>
        </w:rPr>
        <w:t xml:space="preserve">výzkum, </w:t>
      </w:r>
      <w:proofErr w:type="spellStart"/>
      <w:r w:rsidRPr="005C0DB8">
        <w:rPr>
          <w:rFonts w:ascii="Times New Roman" w:hAnsi="Times New Roman"/>
          <w:sz w:val="20"/>
          <w:szCs w:val="20"/>
        </w:rPr>
        <w:t>z.ú</w:t>
      </w:r>
      <w:proofErr w:type="spellEnd"/>
      <w:r w:rsidRPr="005C0DB8">
        <w:rPr>
          <w:rFonts w:ascii="Times New Roman" w:hAnsi="Times New Roman"/>
          <w:sz w:val="20"/>
          <w:szCs w:val="20"/>
        </w:rPr>
        <w:t>.</w:t>
      </w:r>
      <w:proofErr w:type="gramEnd"/>
    </w:p>
    <w:p w:rsidR="00423483" w:rsidRDefault="00423483" w:rsidP="00423483">
      <w:pPr>
        <w:spacing w:after="3"/>
        <w:ind w:left="-4" w:right="208" w:hanging="10"/>
        <w:jc w:val="both"/>
        <w:rPr>
          <w:rFonts w:ascii="Times New Roman" w:hAnsi="Times New Roman" w:cs="Times New Roman"/>
          <w:color w:val="181717"/>
          <w:sz w:val="24"/>
          <w:szCs w:val="24"/>
        </w:rPr>
      </w:pPr>
    </w:p>
    <w:p w:rsidR="00423483" w:rsidRDefault="00423483" w:rsidP="004A3002">
      <w:pPr>
        <w:spacing w:after="3"/>
        <w:ind w:left="-4" w:right="208" w:hanging="10"/>
        <w:rPr>
          <w:rFonts w:ascii="Times New Roman" w:hAnsi="Times New Roman" w:cs="Times New Roman"/>
          <w:color w:val="181717"/>
          <w:sz w:val="24"/>
          <w:szCs w:val="24"/>
        </w:rPr>
      </w:pPr>
      <w:r w:rsidRPr="00423483">
        <w:rPr>
          <w:rFonts w:ascii="Times New Roman" w:hAnsi="Times New Roman" w:cs="Times New Roman"/>
          <w:color w:val="181717"/>
          <w:sz w:val="24"/>
          <w:szCs w:val="24"/>
        </w:rPr>
        <w:t xml:space="preserve">V roce 2034 bude stávající početně silná věková skupina osob mezi 45-49 lety spadat do kategorie obyvatel mezi 55-59 lety, výrazný pokles lze naopak očekávat u kategorií obyvatel mezi 25-34 lety. Mírně vzroste počet obyvatel mezi 15 a 24 lety. Prognózy ukazují na výrazné zvýšení počtu seniorů nad 75 let, rovněž významně přibude obyvatel starších 80 let, u kterých vzniká potřeba zvýšené péče.  </w:t>
      </w:r>
    </w:p>
    <w:p w:rsidR="00A15A76" w:rsidRDefault="00A15A76" w:rsidP="004A3002">
      <w:pPr>
        <w:spacing w:after="3"/>
        <w:ind w:left="-4" w:right="208" w:hanging="10"/>
        <w:rPr>
          <w:rFonts w:ascii="Times New Roman" w:hAnsi="Times New Roman" w:cs="Times New Roman"/>
          <w:color w:val="181717"/>
          <w:sz w:val="24"/>
          <w:szCs w:val="24"/>
        </w:rPr>
      </w:pPr>
    </w:p>
    <w:p w:rsidR="00C5314C" w:rsidRPr="006020DC" w:rsidRDefault="005C0DB8" w:rsidP="00C5314C">
      <w:pPr>
        <w:pStyle w:val="Titulek"/>
        <w:jc w:val="left"/>
      </w:pPr>
      <w:r>
        <w:t>Graf</w:t>
      </w:r>
      <w:r w:rsidR="00C5314C" w:rsidRPr="006020DC">
        <w:t xml:space="preserve"> </w:t>
      </w:r>
      <w:fldSimple w:instr=" SEQ Obrázek \* ARABIC \s 1 ">
        <w:r w:rsidR="00275A86">
          <w:rPr>
            <w:noProof/>
          </w:rPr>
          <w:t>1</w:t>
        </w:r>
      </w:fldSimple>
      <w:r w:rsidR="00C5314C" w:rsidRPr="006020DC">
        <w:t>: Věkové pyramidy obyvatel SO ORP Olomouc pro roky 2024 a 2034</w:t>
      </w:r>
    </w:p>
    <w:p w:rsidR="00C5314C" w:rsidRPr="006020DC" w:rsidRDefault="00C5314C" w:rsidP="00C5314C">
      <w:r>
        <w:rPr>
          <w:noProof/>
          <w:lang w:eastAsia="cs-CZ"/>
        </w:rPr>
        <w:drawing>
          <wp:inline distT="0" distB="0" distL="0" distR="0" wp14:anchorId="01E5C9DF" wp14:editId="677E1759">
            <wp:extent cx="6041390" cy="41211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1390" cy="4121150"/>
                    </a:xfrm>
                    <a:prstGeom prst="rect">
                      <a:avLst/>
                    </a:prstGeom>
                    <a:noFill/>
                  </pic:spPr>
                </pic:pic>
              </a:graphicData>
            </a:graphic>
          </wp:inline>
        </w:drawing>
      </w:r>
    </w:p>
    <w:p w:rsidR="00C5314C" w:rsidRPr="00BF73D6" w:rsidRDefault="00C5314C" w:rsidP="00C5314C">
      <w:pPr>
        <w:autoSpaceDE w:val="0"/>
        <w:autoSpaceDN w:val="0"/>
        <w:adjustRightInd w:val="0"/>
        <w:spacing w:after="120"/>
        <w:jc w:val="both"/>
        <w:rPr>
          <w:rFonts w:ascii="Times New Roman" w:hAnsi="Times New Roman" w:cs="Times New Roman"/>
          <w:i/>
          <w:iCs/>
          <w:sz w:val="20"/>
          <w:szCs w:val="20"/>
        </w:rPr>
      </w:pPr>
      <w:r w:rsidRPr="00BF73D6">
        <w:rPr>
          <w:rFonts w:ascii="Times New Roman" w:hAnsi="Times New Roman" w:cs="Times New Roman"/>
          <w:i/>
          <w:iCs/>
          <w:sz w:val="20"/>
          <w:szCs w:val="20"/>
        </w:rPr>
        <w:t>Zdro</w:t>
      </w:r>
      <w:r w:rsidR="00D43196" w:rsidRPr="00BF73D6">
        <w:rPr>
          <w:rFonts w:ascii="Times New Roman" w:hAnsi="Times New Roman" w:cs="Times New Roman"/>
          <w:i/>
          <w:iCs/>
          <w:sz w:val="20"/>
          <w:szCs w:val="20"/>
        </w:rPr>
        <w:t xml:space="preserve">j: ČSÚ, 2024, </w:t>
      </w:r>
      <w:r w:rsidRPr="00BF73D6">
        <w:rPr>
          <w:rFonts w:ascii="Times New Roman" w:hAnsi="Times New Roman" w:cs="Times New Roman"/>
          <w:i/>
          <w:iCs/>
          <w:sz w:val="20"/>
          <w:szCs w:val="20"/>
        </w:rPr>
        <w:t xml:space="preserve">Běžná evidence obyvatelstva, zpracování ACCENDO – Centrum pro vědu a </w:t>
      </w:r>
      <w:proofErr w:type="gramStart"/>
      <w:r w:rsidRPr="00BF73D6">
        <w:rPr>
          <w:rFonts w:ascii="Times New Roman" w:hAnsi="Times New Roman" w:cs="Times New Roman"/>
          <w:i/>
          <w:iCs/>
          <w:sz w:val="20"/>
          <w:szCs w:val="20"/>
        </w:rPr>
        <w:t xml:space="preserve">výzkum, </w:t>
      </w:r>
      <w:proofErr w:type="spellStart"/>
      <w:r w:rsidRPr="00BF73D6">
        <w:rPr>
          <w:rFonts w:ascii="Times New Roman" w:hAnsi="Times New Roman" w:cs="Times New Roman"/>
          <w:i/>
          <w:iCs/>
          <w:sz w:val="20"/>
          <w:szCs w:val="20"/>
        </w:rPr>
        <w:t>z.ú</w:t>
      </w:r>
      <w:proofErr w:type="spellEnd"/>
      <w:r w:rsidRPr="00BF73D6">
        <w:rPr>
          <w:rFonts w:ascii="Times New Roman" w:hAnsi="Times New Roman" w:cs="Times New Roman"/>
          <w:i/>
          <w:iCs/>
          <w:sz w:val="20"/>
          <w:szCs w:val="20"/>
        </w:rPr>
        <w:t>.</w:t>
      </w:r>
      <w:proofErr w:type="gramEnd"/>
    </w:p>
    <w:p w:rsidR="00513829" w:rsidRDefault="00ED667A" w:rsidP="00ED667A">
      <w:pPr>
        <w:rPr>
          <w:rFonts w:ascii="Times New Roman" w:hAnsi="Times New Roman" w:cs="Times New Roman"/>
          <w:sz w:val="24"/>
          <w:szCs w:val="24"/>
        </w:rPr>
      </w:pPr>
      <w:r w:rsidRPr="00ED667A">
        <w:rPr>
          <w:rFonts w:ascii="Times New Roman" w:hAnsi="Times New Roman" w:cs="Times New Roman"/>
          <w:bCs/>
          <w:sz w:val="24"/>
          <w:szCs w:val="24"/>
        </w:rPr>
        <w:t>Demografické stárnutí je celorepublikovým trendem</w:t>
      </w:r>
      <w:r w:rsidRPr="00ED667A">
        <w:rPr>
          <w:rFonts w:ascii="Times New Roman" w:hAnsi="Times New Roman" w:cs="Times New Roman"/>
          <w:sz w:val="24"/>
          <w:szCs w:val="24"/>
        </w:rPr>
        <w:t xml:space="preserve"> a </w:t>
      </w:r>
      <w:r w:rsidRPr="00ED667A">
        <w:rPr>
          <w:rFonts w:ascii="Times New Roman" w:hAnsi="Times New Roman" w:cs="Times New Roman"/>
          <w:bCs/>
          <w:sz w:val="24"/>
          <w:szCs w:val="24"/>
        </w:rPr>
        <w:t>Olomouc vykazuje tento trend stejně jako ostatní velká města</w:t>
      </w:r>
      <w:r w:rsidRPr="00ED667A">
        <w:rPr>
          <w:rFonts w:ascii="Times New Roman" w:hAnsi="Times New Roman" w:cs="Times New Roman"/>
          <w:sz w:val="24"/>
          <w:szCs w:val="24"/>
        </w:rPr>
        <w:t xml:space="preserve">. Z Tabulky </w:t>
      </w:r>
      <w:r w:rsidR="00583A07">
        <w:rPr>
          <w:rFonts w:ascii="Times New Roman" w:hAnsi="Times New Roman" w:cs="Times New Roman"/>
          <w:sz w:val="24"/>
          <w:szCs w:val="24"/>
        </w:rPr>
        <w:t>4</w:t>
      </w:r>
      <w:r w:rsidRPr="00ED667A">
        <w:rPr>
          <w:rFonts w:ascii="Times New Roman" w:hAnsi="Times New Roman" w:cs="Times New Roman"/>
          <w:sz w:val="24"/>
          <w:szCs w:val="24"/>
        </w:rPr>
        <w:t xml:space="preserve"> vyplývá, že ve městě Olomouci je v porovnání s jinými </w:t>
      </w:r>
      <w:r w:rsidRPr="00ED667A">
        <w:rPr>
          <w:rFonts w:ascii="Times New Roman" w:hAnsi="Times New Roman" w:cs="Times New Roman"/>
          <w:sz w:val="24"/>
          <w:szCs w:val="24"/>
        </w:rPr>
        <w:lastRenderedPageBreak/>
        <w:t>městy Olomouckého kraje nejnižší průměrný věk</w:t>
      </w:r>
      <w:r w:rsidR="00513829">
        <w:rPr>
          <w:rFonts w:ascii="Times New Roman" w:hAnsi="Times New Roman" w:cs="Times New Roman"/>
          <w:sz w:val="24"/>
          <w:szCs w:val="24"/>
        </w:rPr>
        <w:t xml:space="preserve"> (43,1 let, v roce 2014 to bylo 42,0)</w:t>
      </w:r>
      <w:r w:rsidRPr="00ED667A">
        <w:rPr>
          <w:rFonts w:ascii="Times New Roman" w:hAnsi="Times New Roman" w:cs="Times New Roman"/>
          <w:sz w:val="24"/>
          <w:szCs w:val="24"/>
        </w:rPr>
        <w:t>, nejvyšší průměrný věk je v Jeseníku (</w:t>
      </w:r>
      <w:r w:rsidR="00EB4866">
        <w:rPr>
          <w:rFonts w:ascii="Times New Roman" w:hAnsi="Times New Roman" w:cs="Times New Roman"/>
          <w:sz w:val="24"/>
          <w:szCs w:val="24"/>
        </w:rPr>
        <w:t>46,1, v roce 2020 to bylo 45,3)</w:t>
      </w:r>
      <w:r w:rsidRPr="00ED667A">
        <w:rPr>
          <w:rFonts w:ascii="Times New Roman" w:hAnsi="Times New Roman" w:cs="Times New Roman"/>
          <w:sz w:val="24"/>
          <w:szCs w:val="24"/>
        </w:rPr>
        <w:t>, Přerově (45,</w:t>
      </w:r>
      <w:r w:rsidR="00EB4866">
        <w:rPr>
          <w:rFonts w:ascii="Times New Roman" w:hAnsi="Times New Roman" w:cs="Times New Roman"/>
          <w:sz w:val="24"/>
          <w:szCs w:val="24"/>
        </w:rPr>
        <w:t>6, v roce 2020 to bylo 45,1</w:t>
      </w:r>
      <w:r w:rsidRPr="00ED667A">
        <w:rPr>
          <w:rFonts w:ascii="Times New Roman" w:hAnsi="Times New Roman" w:cs="Times New Roman"/>
          <w:sz w:val="24"/>
          <w:szCs w:val="24"/>
        </w:rPr>
        <w:t>) či Šumperku (</w:t>
      </w:r>
      <w:r w:rsidR="00EB4866">
        <w:rPr>
          <w:rFonts w:ascii="Times New Roman" w:hAnsi="Times New Roman" w:cs="Times New Roman"/>
          <w:sz w:val="24"/>
          <w:szCs w:val="24"/>
        </w:rPr>
        <w:t>45,5, v roce 2020 to bylo 44,8</w:t>
      </w:r>
      <w:r w:rsidRPr="00ED667A">
        <w:rPr>
          <w:rFonts w:ascii="Times New Roman" w:hAnsi="Times New Roman" w:cs="Times New Roman"/>
          <w:sz w:val="24"/>
          <w:szCs w:val="24"/>
        </w:rPr>
        <w:t xml:space="preserve">). </w:t>
      </w:r>
    </w:p>
    <w:p w:rsidR="00C5314C" w:rsidRPr="00AE1E58" w:rsidRDefault="00C5314C" w:rsidP="00AF5818">
      <w:pPr>
        <w:spacing w:after="0"/>
        <w:rPr>
          <w:rFonts w:ascii="Times New Roman" w:hAnsi="Times New Roman" w:cs="Times New Roman"/>
          <w:i/>
          <w:sz w:val="20"/>
          <w:szCs w:val="20"/>
        </w:rPr>
      </w:pPr>
      <w:r w:rsidRPr="00AE1E58">
        <w:rPr>
          <w:rFonts w:ascii="Times New Roman" w:hAnsi="Times New Roman" w:cs="Times New Roman"/>
          <w:bCs/>
          <w:i/>
          <w:sz w:val="20"/>
          <w:szCs w:val="20"/>
          <w:lang w:eastAsia="cs-CZ"/>
        </w:rPr>
        <w:t xml:space="preserve">Tabulka </w:t>
      </w:r>
      <w:r w:rsidR="00AE1E58" w:rsidRPr="00AE1E58">
        <w:rPr>
          <w:rFonts w:ascii="Times New Roman" w:hAnsi="Times New Roman" w:cs="Times New Roman"/>
          <w:bCs/>
          <w:i/>
          <w:sz w:val="20"/>
          <w:szCs w:val="20"/>
          <w:lang w:eastAsia="cs-CZ"/>
        </w:rPr>
        <w:t>4:</w:t>
      </w:r>
      <w:r w:rsidRPr="00AE1E58">
        <w:rPr>
          <w:rFonts w:ascii="Times New Roman" w:hAnsi="Times New Roman" w:cs="Times New Roman"/>
          <w:bCs/>
          <w:i/>
          <w:sz w:val="20"/>
          <w:szCs w:val="20"/>
          <w:lang w:eastAsia="cs-CZ"/>
        </w:rPr>
        <w:t xml:space="preserve"> Obyvatelstvo podle pohlaví a věku ve vybraných městech Olomouckého kraje k 31. 12. 2023</w:t>
      </w:r>
    </w:p>
    <w:tbl>
      <w:tblPr>
        <w:tblW w:w="9157" w:type="dxa"/>
        <w:tblInd w:w="55" w:type="dxa"/>
        <w:tblCellMar>
          <w:left w:w="70" w:type="dxa"/>
          <w:right w:w="70" w:type="dxa"/>
        </w:tblCellMar>
        <w:tblLook w:val="00A0" w:firstRow="1" w:lastRow="0" w:firstColumn="1" w:lastColumn="0" w:noHBand="0" w:noVBand="0"/>
      </w:tblPr>
      <w:tblGrid>
        <w:gridCol w:w="2709"/>
        <w:gridCol w:w="1275"/>
        <w:gridCol w:w="1276"/>
        <w:gridCol w:w="1418"/>
        <w:gridCol w:w="850"/>
        <w:gridCol w:w="796"/>
        <w:gridCol w:w="833"/>
      </w:tblGrid>
      <w:tr w:rsidR="00C5314C" w:rsidTr="00256A66">
        <w:trPr>
          <w:trHeight w:val="255"/>
        </w:trPr>
        <w:tc>
          <w:tcPr>
            <w:tcW w:w="2709" w:type="dxa"/>
            <w:vMerge w:val="restart"/>
            <w:tcBorders>
              <w:top w:val="single" w:sz="8" w:space="0" w:color="auto"/>
              <w:left w:val="single" w:sz="8" w:space="0" w:color="auto"/>
              <w:bottom w:val="single" w:sz="8" w:space="0" w:color="000000"/>
              <w:right w:val="single" w:sz="4" w:space="0" w:color="auto"/>
            </w:tcBorders>
            <w:shd w:val="clear" w:color="auto" w:fill="D9D9D9"/>
            <w:noWrap/>
            <w:vAlign w:val="bottom"/>
            <w:hideMark/>
          </w:tcPr>
          <w:p w:rsidR="00C5314C" w:rsidRDefault="00C5314C" w:rsidP="00256A66">
            <w:pPr>
              <w:spacing w:after="0" w:line="240" w:lineRule="auto"/>
              <w:jc w:val="center"/>
              <w:rPr>
                <w:b/>
                <w:color w:val="000000"/>
                <w:sz w:val="20"/>
                <w:szCs w:val="20"/>
                <w:lang w:eastAsia="cs-CZ"/>
              </w:rPr>
            </w:pPr>
            <w:r>
              <w:rPr>
                <w:b/>
                <w:color w:val="000000"/>
                <w:sz w:val="20"/>
                <w:szCs w:val="20"/>
                <w:lang w:eastAsia="cs-CZ"/>
              </w:rPr>
              <w:t>obec</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D9D9D9"/>
            <w:noWrap/>
            <w:vAlign w:val="bottom"/>
            <w:hideMark/>
          </w:tcPr>
          <w:p w:rsidR="00C5314C" w:rsidRDefault="00C5314C" w:rsidP="00256A66">
            <w:pPr>
              <w:spacing w:after="0" w:line="240" w:lineRule="auto"/>
              <w:jc w:val="center"/>
              <w:rPr>
                <w:b/>
                <w:color w:val="000000"/>
                <w:sz w:val="20"/>
                <w:szCs w:val="20"/>
                <w:lang w:eastAsia="cs-CZ"/>
              </w:rPr>
            </w:pPr>
            <w:r>
              <w:rPr>
                <w:b/>
                <w:color w:val="000000"/>
                <w:sz w:val="20"/>
                <w:szCs w:val="20"/>
                <w:lang w:eastAsia="cs-CZ"/>
              </w:rPr>
              <w:t>muži</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D9D9D9"/>
            <w:noWrap/>
            <w:vAlign w:val="bottom"/>
            <w:hideMark/>
          </w:tcPr>
          <w:p w:rsidR="00C5314C" w:rsidRDefault="00C5314C" w:rsidP="00256A66">
            <w:pPr>
              <w:spacing w:after="0" w:line="240" w:lineRule="auto"/>
              <w:jc w:val="center"/>
              <w:rPr>
                <w:b/>
                <w:color w:val="000000"/>
                <w:sz w:val="20"/>
                <w:szCs w:val="20"/>
                <w:lang w:eastAsia="cs-CZ"/>
              </w:rPr>
            </w:pPr>
            <w:r>
              <w:rPr>
                <w:b/>
                <w:color w:val="000000"/>
                <w:sz w:val="20"/>
                <w:szCs w:val="20"/>
                <w:lang w:eastAsia="cs-CZ"/>
              </w:rPr>
              <w:t>ženy</w:t>
            </w:r>
          </w:p>
        </w:tc>
        <w:tc>
          <w:tcPr>
            <w:tcW w:w="1418" w:type="dxa"/>
            <w:vMerge w:val="restart"/>
            <w:tcBorders>
              <w:top w:val="single" w:sz="8" w:space="0" w:color="auto"/>
              <w:left w:val="nil"/>
              <w:bottom w:val="nil"/>
              <w:right w:val="nil"/>
            </w:tcBorders>
            <w:shd w:val="clear" w:color="auto" w:fill="D9D9D9"/>
            <w:noWrap/>
            <w:vAlign w:val="bottom"/>
            <w:hideMark/>
          </w:tcPr>
          <w:p w:rsidR="00C5314C" w:rsidRDefault="00C5314C" w:rsidP="00256A66">
            <w:pPr>
              <w:spacing w:after="0" w:line="240" w:lineRule="auto"/>
              <w:jc w:val="center"/>
              <w:rPr>
                <w:b/>
                <w:color w:val="000000"/>
                <w:sz w:val="20"/>
                <w:szCs w:val="20"/>
                <w:lang w:eastAsia="cs-CZ"/>
              </w:rPr>
            </w:pPr>
            <w:r>
              <w:rPr>
                <w:b/>
                <w:color w:val="000000"/>
                <w:sz w:val="20"/>
                <w:szCs w:val="20"/>
                <w:lang w:eastAsia="cs-CZ"/>
              </w:rPr>
              <w:t>celkem</w:t>
            </w:r>
          </w:p>
        </w:tc>
        <w:tc>
          <w:tcPr>
            <w:tcW w:w="2479" w:type="dxa"/>
            <w:gridSpan w:val="3"/>
            <w:tcBorders>
              <w:top w:val="single" w:sz="8" w:space="0" w:color="auto"/>
              <w:left w:val="single" w:sz="8" w:space="0" w:color="auto"/>
              <w:bottom w:val="single" w:sz="4" w:space="0" w:color="auto"/>
              <w:right w:val="single" w:sz="8" w:space="0" w:color="000000"/>
            </w:tcBorders>
            <w:shd w:val="clear" w:color="auto" w:fill="D9D9D9"/>
            <w:noWrap/>
            <w:vAlign w:val="bottom"/>
            <w:hideMark/>
          </w:tcPr>
          <w:p w:rsidR="00C5314C" w:rsidRDefault="00C5314C" w:rsidP="00256A66">
            <w:pPr>
              <w:spacing w:after="0" w:line="240" w:lineRule="auto"/>
              <w:jc w:val="center"/>
              <w:rPr>
                <w:b/>
                <w:color w:val="000000"/>
                <w:sz w:val="20"/>
                <w:szCs w:val="20"/>
                <w:lang w:eastAsia="cs-CZ"/>
              </w:rPr>
            </w:pPr>
            <w:r>
              <w:rPr>
                <w:b/>
                <w:color w:val="000000"/>
                <w:sz w:val="20"/>
                <w:szCs w:val="20"/>
                <w:lang w:eastAsia="cs-CZ"/>
              </w:rPr>
              <w:t>průměrný věk</w:t>
            </w:r>
          </w:p>
        </w:tc>
      </w:tr>
      <w:tr w:rsidR="00C5314C" w:rsidTr="00256A66">
        <w:trPr>
          <w:trHeight w:val="270"/>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C5314C" w:rsidRDefault="00C5314C" w:rsidP="00256A66">
            <w:pPr>
              <w:spacing w:after="0" w:line="240" w:lineRule="auto"/>
              <w:rPr>
                <w:b/>
                <w:color w:val="000000"/>
                <w:sz w:val="20"/>
                <w:szCs w:val="20"/>
                <w:lang w:eastAsia="cs-CZ"/>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C5314C" w:rsidRDefault="00C5314C" w:rsidP="00256A66">
            <w:pPr>
              <w:spacing w:after="0" w:line="240" w:lineRule="auto"/>
              <w:rPr>
                <w:b/>
                <w:color w:val="000000"/>
                <w:sz w:val="20"/>
                <w:szCs w:val="20"/>
                <w:lang w:eastAsia="cs-CZ"/>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C5314C" w:rsidRDefault="00C5314C" w:rsidP="00256A66">
            <w:pPr>
              <w:spacing w:after="0" w:line="240" w:lineRule="auto"/>
              <w:rPr>
                <w:b/>
                <w:color w:val="000000"/>
                <w:sz w:val="20"/>
                <w:szCs w:val="20"/>
                <w:lang w:eastAsia="cs-CZ"/>
              </w:rPr>
            </w:pPr>
          </w:p>
        </w:tc>
        <w:tc>
          <w:tcPr>
            <w:tcW w:w="0" w:type="auto"/>
            <w:vMerge/>
            <w:tcBorders>
              <w:top w:val="single" w:sz="8" w:space="0" w:color="auto"/>
              <w:left w:val="nil"/>
              <w:bottom w:val="nil"/>
              <w:right w:val="nil"/>
            </w:tcBorders>
            <w:vAlign w:val="center"/>
            <w:hideMark/>
          </w:tcPr>
          <w:p w:rsidR="00C5314C" w:rsidRDefault="00C5314C" w:rsidP="00256A66">
            <w:pPr>
              <w:spacing w:after="0" w:line="240" w:lineRule="auto"/>
              <w:rPr>
                <w:b/>
                <w:color w:val="000000"/>
                <w:sz w:val="20"/>
                <w:szCs w:val="20"/>
                <w:lang w:eastAsia="cs-CZ"/>
              </w:rPr>
            </w:pPr>
          </w:p>
        </w:tc>
        <w:tc>
          <w:tcPr>
            <w:tcW w:w="850" w:type="dxa"/>
            <w:tcBorders>
              <w:top w:val="nil"/>
              <w:left w:val="single" w:sz="8" w:space="0" w:color="auto"/>
              <w:bottom w:val="nil"/>
              <w:right w:val="single" w:sz="4" w:space="0" w:color="auto"/>
            </w:tcBorders>
            <w:shd w:val="clear" w:color="auto" w:fill="D9D9D9"/>
            <w:noWrap/>
            <w:vAlign w:val="bottom"/>
            <w:hideMark/>
          </w:tcPr>
          <w:p w:rsidR="00C5314C" w:rsidRDefault="00C5314C" w:rsidP="00256A66">
            <w:pPr>
              <w:spacing w:after="0" w:line="240" w:lineRule="auto"/>
              <w:rPr>
                <w:b/>
                <w:color w:val="000000"/>
                <w:sz w:val="20"/>
                <w:szCs w:val="20"/>
                <w:lang w:eastAsia="cs-CZ"/>
              </w:rPr>
            </w:pPr>
            <w:r>
              <w:rPr>
                <w:b/>
                <w:color w:val="000000"/>
                <w:sz w:val="20"/>
                <w:szCs w:val="20"/>
                <w:lang w:eastAsia="cs-CZ"/>
              </w:rPr>
              <w:t>muži</w:t>
            </w:r>
          </w:p>
        </w:tc>
        <w:tc>
          <w:tcPr>
            <w:tcW w:w="796" w:type="dxa"/>
            <w:tcBorders>
              <w:top w:val="nil"/>
              <w:left w:val="nil"/>
              <w:bottom w:val="nil"/>
              <w:right w:val="single" w:sz="4" w:space="0" w:color="auto"/>
            </w:tcBorders>
            <w:shd w:val="clear" w:color="auto" w:fill="D9D9D9"/>
            <w:noWrap/>
            <w:vAlign w:val="bottom"/>
            <w:hideMark/>
          </w:tcPr>
          <w:p w:rsidR="00C5314C" w:rsidRDefault="00C5314C" w:rsidP="00256A66">
            <w:pPr>
              <w:spacing w:after="0" w:line="240" w:lineRule="auto"/>
              <w:rPr>
                <w:b/>
                <w:color w:val="000000"/>
                <w:sz w:val="20"/>
                <w:szCs w:val="20"/>
                <w:lang w:eastAsia="cs-CZ"/>
              </w:rPr>
            </w:pPr>
            <w:r>
              <w:rPr>
                <w:b/>
                <w:color w:val="000000"/>
                <w:sz w:val="20"/>
                <w:szCs w:val="20"/>
                <w:lang w:eastAsia="cs-CZ"/>
              </w:rPr>
              <w:t>ženy</w:t>
            </w:r>
          </w:p>
        </w:tc>
        <w:tc>
          <w:tcPr>
            <w:tcW w:w="833" w:type="dxa"/>
            <w:tcBorders>
              <w:top w:val="nil"/>
              <w:left w:val="nil"/>
              <w:bottom w:val="nil"/>
              <w:right w:val="single" w:sz="8" w:space="0" w:color="auto"/>
            </w:tcBorders>
            <w:shd w:val="clear" w:color="auto" w:fill="D9D9D9"/>
            <w:noWrap/>
            <w:vAlign w:val="bottom"/>
            <w:hideMark/>
          </w:tcPr>
          <w:p w:rsidR="00C5314C" w:rsidRDefault="00C5314C" w:rsidP="00256A66">
            <w:pPr>
              <w:spacing w:after="0" w:line="240" w:lineRule="auto"/>
              <w:rPr>
                <w:b/>
                <w:color w:val="000000"/>
                <w:sz w:val="20"/>
                <w:szCs w:val="20"/>
                <w:lang w:eastAsia="cs-CZ"/>
              </w:rPr>
            </w:pPr>
            <w:r>
              <w:rPr>
                <w:b/>
                <w:color w:val="000000"/>
                <w:sz w:val="20"/>
                <w:szCs w:val="20"/>
                <w:lang w:eastAsia="cs-CZ"/>
              </w:rPr>
              <w:t>celkem</w:t>
            </w:r>
          </w:p>
        </w:tc>
      </w:tr>
      <w:tr w:rsidR="00C5314C" w:rsidTr="00256A66">
        <w:trPr>
          <w:trHeight w:val="255"/>
        </w:trPr>
        <w:tc>
          <w:tcPr>
            <w:tcW w:w="2709" w:type="dxa"/>
            <w:tcBorders>
              <w:top w:val="single" w:sz="8" w:space="0" w:color="000000"/>
              <w:left w:val="single" w:sz="8" w:space="0" w:color="auto"/>
              <w:bottom w:val="single" w:sz="4" w:space="0" w:color="auto"/>
              <w:right w:val="single" w:sz="8" w:space="0" w:color="auto"/>
            </w:tcBorders>
            <w:shd w:val="clear" w:color="auto" w:fill="D9D9D9"/>
            <w:noWrap/>
            <w:vAlign w:val="bottom"/>
            <w:hideMark/>
          </w:tcPr>
          <w:p w:rsidR="00C5314C" w:rsidRDefault="00C5314C" w:rsidP="00256A66">
            <w:pPr>
              <w:spacing w:after="0" w:line="240" w:lineRule="auto"/>
              <w:rPr>
                <w:b/>
                <w:color w:val="000000"/>
                <w:sz w:val="20"/>
                <w:szCs w:val="20"/>
                <w:lang w:eastAsia="cs-CZ"/>
              </w:rPr>
            </w:pPr>
            <w:r>
              <w:rPr>
                <w:b/>
                <w:color w:val="000000"/>
                <w:sz w:val="20"/>
                <w:szCs w:val="20"/>
                <w:lang w:eastAsia="cs-CZ"/>
              </w:rPr>
              <w:t>Olomouc</w:t>
            </w:r>
          </w:p>
        </w:tc>
        <w:tc>
          <w:tcPr>
            <w:tcW w:w="1275"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b/>
                <w:color w:val="000000"/>
                <w:sz w:val="20"/>
                <w:szCs w:val="20"/>
                <w:lang w:eastAsia="cs-CZ"/>
              </w:rPr>
            </w:pPr>
            <w:r>
              <w:rPr>
                <w:b/>
                <w:color w:val="000000"/>
                <w:sz w:val="20"/>
                <w:szCs w:val="20"/>
                <w:lang w:eastAsia="cs-CZ"/>
              </w:rPr>
              <w:t>48 366</w:t>
            </w:r>
          </w:p>
        </w:tc>
        <w:tc>
          <w:tcPr>
            <w:tcW w:w="127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b/>
                <w:color w:val="000000"/>
                <w:sz w:val="20"/>
                <w:szCs w:val="20"/>
                <w:lang w:eastAsia="cs-CZ"/>
              </w:rPr>
            </w:pPr>
            <w:r>
              <w:rPr>
                <w:b/>
                <w:color w:val="000000"/>
                <w:sz w:val="20"/>
                <w:szCs w:val="20"/>
                <w:lang w:eastAsia="cs-CZ"/>
              </w:rPr>
              <w:t>53 927</w:t>
            </w:r>
          </w:p>
        </w:tc>
        <w:tc>
          <w:tcPr>
            <w:tcW w:w="1418" w:type="dxa"/>
            <w:tcBorders>
              <w:top w:val="single" w:sz="8" w:space="0" w:color="auto"/>
              <w:left w:val="nil"/>
              <w:bottom w:val="single" w:sz="4" w:space="0" w:color="auto"/>
              <w:right w:val="single" w:sz="4" w:space="0" w:color="auto"/>
            </w:tcBorders>
            <w:noWrap/>
            <w:vAlign w:val="bottom"/>
          </w:tcPr>
          <w:p w:rsidR="00C5314C" w:rsidRDefault="00C5314C" w:rsidP="00256A66">
            <w:pPr>
              <w:spacing w:after="0" w:line="240" w:lineRule="auto"/>
              <w:jc w:val="right"/>
              <w:rPr>
                <w:b/>
                <w:color w:val="000000"/>
                <w:sz w:val="20"/>
                <w:szCs w:val="20"/>
                <w:lang w:eastAsia="cs-CZ"/>
              </w:rPr>
            </w:pPr>
            <w:r>
              <w:rPr>
                <w:b/>
                <w:color w:val="000000"/>
                <w:sz w:val="20"/>
                <w:szCs w:val="20"/>
                <w:lang w:eastAsia="cs-CZ"/>
              </w:rPr>
              <w:t>102 293</w:t>
            </w:r>
          </w:p>
        </w:tc>
        <w:tc>
          <w:tcPr>
            <w:tcW w:w="850" w:type="dxa"/>
            <w:tcBorders>
              <w:top w:val="single" w:sz="8" w:space="0" w:color="auto"/>
              <w:left w:val="nil"/>
              <w:bottom w:val="single" w:sz="4" w:space="0" w:color="auto"/>
              <w:right w:val="single" w:sz="4" w:space="0" w:color="auto"/>
            </w:tcBorders>
            <w:noWrap/>
            <w:vAlign w:val="bottom"/>
          </w:tcPr>
          <w:p w:rsidR="00C5314C" w:rsidRDefault="00C5314C" w:rsidP="00256A66">
            <w:pPr>
              <w:spacing w:after="0" w:line="240" w:lineRule="auto"/>
              <w:jc w:val="right"/>
              <w:rPr>
                <w:b/>
                <w:color w:val="000000"/>
                <w:sz w:val="20"/>
                <w:szCs w:val="20"/>
                <w:lang w:eastAsia="cs-CZ"/>
              </w:rPr>
            </w:pPr>
            <w:r>
              <w:rPr>
                <w:b/>
                <w:color w:val="000000"/>
                <w:sz w:val="20"/>
                <w:szCs w:val="20"/>
                <w:lang w:eastAsia="cs-CZ"/>
              </w:rPr>
              <w:t>41,2</w:t>
            </w:r>
          </w:p>
        </w:tc>
        <w:tc>
          <w:tcPr>
            <w:tcW w:w="796" w:type="dxa"/>
            <w:tcBorders>
              <w:top w:val="single" w:sz="8" w:space="0" w:color="auto"/>
              <w:left w:val="nil"/>
              <w:bottom w:val="single" w:sz="4" w:space="0" w:color="auto"/>
              <w:right w:val="single" w:sz="4" w:space="0" w:color="auto"/>
            </w:tcBorders>
            <w:noWrap/>
            <w:vAlign w:val="bottom"/>
          </w:tcPr>
          <w:p w:rsidR="00C5314C" w:rsidRDefault="00C5314C" w:rsidP="00256A66">
            <w:pPr>
              <w:spacing w:after="0" w:line="240" w:lineRule="auto"/>
              <w:jc w:val="right"/>
              <w:rPr>
                <w:b/>
                <w:color w:val="000000"/>
                <w:sz w:val="20"/>
                <w:szCs w:val="20"/>
                <w:lang w:eastAsia="cs-CZ"/>
              </w:rPr>
            </w:pPr>
            <w:r>
              <w:rPr>
                <w:b/>
                <w:color w:val="000000"/>
                <w:sz w:val="20"/>
                <w:szCs w:val="20"/>
                <w:lang w:eastAsia="cs-CZ"/>
              </w:rPr>
              <w:t>44,5</w:t>
            </w:r>
          </w:p>
        </w:tc>
        <w:tc>
          <w:tcPr>
            <w:tcW w:w="833" w:type="dxa"/>
            <w:tcBorders>
              <w:top w:val="single" w:sz="8" w:space="0" w:color="auto"/>
              <w:left w:val="nil"/>
              <w:bottom w:val="single" w:sz="4" w:space="0" w:color="auto"/>
              <w:right w:val="single" w:sz="8" w:space="0" w:color="auto"/>
            </w:tcBorders>
            <w:noWrap/>
            <w:vAlign w:val="bottom"/>
          </w:tcPr>
          <w:p w:rsidR="00C5314C" w:rsidRDefault="00C5314C" w:rsidP="00256A66">
            <w:pPr>
              <w:spacing w:after="0" w:line="240" w:lineRule="auto"/>
              <w:jc w:val="right"/>
              <w:rPr>
                <w:b/>
                <w:color w:val="000000"/>
                <w:sz w:val="20"/>
                <w:szCs w:val="20"/>
                <w:lang w:eastAsia="cs-CZ"/>
              </w:rPr>
            </w:pPr>
            <w:r>
              <w:rPr>
                <w:b/>
                <w:color w:val="000000"/>
                <w:sz w:val="20"/>
                <w:szCs w:val="20"/>
                <w:lang w:eastAsia="cs-CZ"/>
              </w:rPr>
              <w:t>43,1</w:t>
            </w:r>
          </w:p>
        </w:tc>
      </w:tr>
      <w:tr w:rsidR="00C5314C" w:rsidTr="00256A66">
        <w:trPr>
          <w:trHeight w:val="255"/>
        </w:trPr>
        <w:tc>
          <w:tcPr>
            <w:tcW w:w="2709" w:type="dxa"/>
            <w:tcBorders>
              <w:top w:val="single" w:sz="4" w:space="0" w:color="auto"/>
              <w:left w:val="single" w:sz="8" w:space="0" w:color="auto"/>
              <w:bottom w:val="single" w:sz="4" w:space="0" w:color="auto"/>
              <w:right w:val="single" w:sz="8" w:space="0" w:color="auto"/>
            </w:tcBorders>
            <w:shd w:val="clear" w:color="auto" w:fill="D9D9D9"/>
            <w:noWrap/>
            <w:vAlign w:val="bottom"/>
            <w:hideMark/>
          </w:tcPr>
          <w:p w:rsidR="00C5314C" w:rsidRDefault="00C5314C" w:rsidP="00256A66">
            <w:pPr>
              <w:spacing w:after="0" w:line="240" w:lineRule="auto"/>
              <w:rPr>
                <w:color w:val="000000"/>
                <w:sz w:val="20"/>
                <w:szCs w:val="20"/>
                <w:lang w:eastAsia="cs-CZ"/>
              </w:rPr>
            </w:pPr>
            <w:r>
              <w:rPr>
                <w:color w:val="000000"/>
                <w:sz w:val="20"/>
                <w:szCs w:val="20"/>
                <w:lang w:eastAsia="cs-CZ"/>
              </w:rPr>
              <w:t>Prostějov</w:t>
            </w:r>
          </w:p>
        </w:tc>
        <w:tc>
          <w:tcPr>
            <w:tcW w:w="1275"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20 411</w:t>
            </w:r>
          </w:p>
        </w:tc>
        <w:tc>
          <w:tcPr>
            <w:tcW w:w="127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23 152</w:t>
            </w:r>
          </w:p>
        </w:tc>
        <w:tc>
          <w:tcPr>
            <w:tcW w:w="1418"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43 563</w:t>
            </w:r>
          </w:p>
        </w:tc>
        <w:tc>
          <w:tcPr>
            <w:tcW w:w="850"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42,7</w:t>
            </w:r>
          </w:p>
        </w:tc>
        <w:tc>
          <w:tcPr>
            <w:tcW w:w="79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46,3</w:t>
            </w:r>
          </w:p>
        </w:tc>
        <w:tc>
          <w:tcPr>
            <w:tcW w:w="833" w:type="dxa"/>
            <w:tcBorders>
              <w:top w:val="nil"/>
              <w:left w:val="nil"/>
              <w:bottom w:val="single" w:sz="4" w:space="0" w:color="auto"/>
              <w:right w:val="single" w:sz="8"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44,6</w:t>
            </w:r>
          </w:p>
        </w:tc>
      </w:tr>
      <w:tr w:rsidR="00C5314C" w:rsidTr="00256A66">
        <w:trPr>
          <w:trHeight w:val="255"/>
        </w:trPr>
        <w:tc>
          <w:tcPr>
            <w:tcW w:w="2709" w:type="dxa"/>
            <w:tcBorders>
              <w:top w:val="single" w:sz="4" w:space="0" w:color="auto"/>
              <w:left w:val="single" w:sz="8" w:space="0" w:color="auto"/>
              <w:bottom w:val="single" w:sz="4" w:space="0" w:color="auto"/>
              <w:right w:val="single" w:sz="8" w:space="0" w:color="auto"/>
            </w:tcBorders>
            <w:shd w:val="clear" w:color="auto" w:fill="D9D9D9"/>
            <w:noWrap/>
            <w:vAlign w:val="bottom"/>
            <w:hideMark/>
          </w:tcPr>
          <w:p w:rsidR="00C5314C" w:rsidRDefault="00C5314C" w:rsidP="00256A66">
            <w:pPr>
              <w:spacing w:after="0" w:line="240" w:lineRule="auto"/>
              <w:rPr>
                <w:color w:val="000000"/>
                <w:sz w:val="20"/>
                <w:szCs w:val="20"/>
                <w:lang w:eastAsia="cs-CZ"/>
              </w:rPr>
            </w:pPr>
            <w:r>
              <w:rPr>
                <w:color w:val="000000"/>
                <w:sz w:val="20"/>
                <w:szCs w:val="20"/>
                <w:lang w:eastAsia="cs-CZ"/>
              </w:rPr>
              <w:t>Přerov</w:t>
            </w:r>
          </w:p>
        </w:tc>
        <w:tc>
          <w:tcPr>
            <w:tcW w:w="1275"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20 113</w:t>
            </w:r>
          </w:p>
        </w:tc>
        <w:tc>
          <w:tcPr>
            <w:tcW w:w="127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21 548</w:t>
            </w:r>
          </w:p>
        </w:tc>
        <w:tc>
          <w:tcPr>
            <w:tcW w:w="1418"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41 661</w:t>
            </w:r>
          </w:p>
        </w:tc>
        <w:tc>
          <w:tcPr>
            <w:tcW w:w="850"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43,6</w:t>
            </w:r>
          </w:p>
        </w:tc>
        <w:tc>
          <w:tcPr>
            <w:tcW w:w="79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47,5</w:t>
            </w:r>
          </w:p>
        </w:tc>
        <w:tc>
          <w:tcPr>
            <w:tcW w:w="833" w:type="dxa"/>
            <w:tcBorders>
              <w:top w:val="single" w:sz="4" w:space="0" w:color="auto"/>
              <w:left w:val="nil"/>
              <w:bottom w:val="single" w:sz="4" w:space="0" w:color="auto"/>
              <w:right w:val="single" w:sz="8" w:space="0" w:color="auto"/>
            </w:tcBorders>
            <w:shd w:val="clear" w:color="auto" w:fill="F7CAAC"/>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45,6</w:t>
            </w:r>
          </w:p>
        </w:tc>
      </w:tr>
      <w:tr w:rsidR="00C5314C" w:rsidTr="00256A66">
        <w:trPr>
          <w:trHeight w:val="255"/>
        </w:trPr>
        <w:tc>
          <w:tcPr>
            <w:tcW w:w="2709" w:type="dxa"/>
            <w:tcBorders>
              <w:top w:val="single" w:sz="4" w:space="0" w:color="auto"/>
              <w:left w:val="single" w:sz="8" w:space="0" w:color="auto"/>
              <w:bottom w:val="single" w:sz="4" w:space="0" w:color="auto"/>
              <w:right w:val="single" w:sz="8" w:space="0" w:color="auto"/>
            </w:tcBorders>
            <w:shd w:val="clear" w:color="auto" w:fill="D9D9D9"/>
            <w:noWrap/>
            <w:vAlign w:val="bottom"/>
            <w:hideMark/>
          </w:tcPr>
          <w:p w:rsidR="00C5314C" w:rsidRDefault="00C5314C" w:rsidP="00256A66">
            <w:pPr>
              <w:spacing w:after="0" w:line="240" w:lineRule="auto"/>
              <w:rPr>
                <w:color w:val="000000"/>
                <w:sz w:val="20"/>
                <w:szCs w:val="20"/>
                <w:lang w:eastAsia="cs-CZ"/>
              </w:rPr>
            </w:pPr>
            <w:r>
              <w:rPr>
                <w:color w:val="000000"/>
                <w:sz w:val="20"/>
                <w:szCs w:val="20"/>
                <w:lang w:eastAsia="cs-CZ"/>
              </w:rPr>
              <w:t>Šumperk</w:t>
            </w:r>
          </w:p>
        </w:tc>
        <w:tc>
          <w:tcPr>
            <w:tcW w:w="1275"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11 712</w:t>
            </w:r>
          </w:p>
        </w:tc>
        <w:tc>
          <w:tcPr>
            <w:tcW w:w="127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13 257</w:t>
            </w:r>
          </w:p>
        </w:tc>
        <w:tc>
          <w:tcPr>
            <w:tcW w:w="1418"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24 969</w:t>
            </w:r>
          </w:p>
        </w:tc>
        <w:tc>
          <w:tcPr>
            <w:tcW w:w="850"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43,3</w:t>
            </w:r>
          </w:p>
        </w:tc>
        <w:tc>
          <w:tcPr>
            <w:tcW w:w="79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47,4</w:t>
            </w:r>
          </w:p>
        </w:tc>
        <w:tc>
          <w:tcPr>
            <w:tcW w:w="833" w:type="dxa"/>
            <w:tcBorders>
              <w:top w:val="single" w:sz="4" w:space="0" w:color="auto"/>
              <w:left w:val="nil"/>
              <w:bottom w:val="single" w:sz="4" w:space="0" w:color="auto"/>
              <w:right w:val="single" w:sz="8" w:space="0" w:color="auto"/>
            </w:tcBorders>
            <w:shd w:val="clear" w:color="auto" w:fill="FBE4D5"/>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45,5</w:t>
            </w:r>
          </w:p>
        </w:tc>
      </w:tr>
      <w:tr w:rsidR="00C5314C" w:rsidTr="00256A66">
        <w:trPr>
          <w:trHeight w:val="255"/>
        </w:trPr>
        <w:tc>
          <w:tcPr>
            <w:tcW w:w="2709" w:type="dxa"/>
            <w:tcBorders>
              <w:top w:val="single" w:sz="4" w:space="0" w:color="auto"/>
              <w:left w:val="single" w:sz="8" w:space="0" w:color="auto"/>
              <w:bottom w:val="single" w:sz="4" w:space="0" w:color="auto"/>
              <w:right w:val="single" w:sz="8" w:space="0" w:color="auto"/>
            </w:tcBorders>
            <w:shd w:val="clear" w:color="auto" w:fill="D9D9D9"/>
            <w:noWrap/>
            <w:vAlign w:val="bottom"/>
            <w:hideMark/>
          </w:tcPr>
          <w:p w:rsidR="00C5314C" w:rsidRDefault="00C5314C" w:rsidP="00256A66">
            <w:pPr>
              <w:spacing w:after="0" w:line="240" w:lineRule="auto"/>
              <w:rPr>
                <w:color w:val="000000"/>
                <w:sz w:val="20"/>
                <w:szCs w:val="20"/>
                <w:lang w:eastAsia="cs-CZ"/>
              </w:rPr>
            </w:pPr>
            <w:r>
              <w:rPr>
                <w:color w:val="000000"/>
                <w:sz w:val="20"/>
                <w:szCs w:val="20"/>
                <w:lang w:eastAsia="cs-CZ"/>
              </w:rPr>
              <w:t>Hranice</w:t>
            </w:r>
          </w:p>
        </w:tc>
        <w:tc>
          <w:tcPr>
            <w:tcW w:w="1275"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8 648</w:t>
            </w:r>
          </w:p>
        </w:tc>
        <w:tc>
          <w:tcPr>
            <w:tcW w:w="127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9 376</w:t>
            </w:r>
          </w:p>
        </w:tc>
        <w:tc>
          <w:tcPr>
            <w:tcW w:w="1418"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18 024</w:t>
            </w:r>
          </w:p>
        </w:tc>
        <w:tc>
          <w:tcPr>
            <w:tcW w:w="850"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41,9</w:t>
            </w:r>
          </w:p>
        </w:tc>
        <w:tc>
          <w:tcPr>
            <w:tcW w:w="79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45,5</w:t>
            </w:r>
          </w:p>
        </w:tc>
        <w:tc>
          <w:tcPr>
            <w:tcW w:w="833" w:type="dxa"/>
            <w:tcBorders>
              <w:top w:val="nil"/>
              <w:left w:val="nil"/>
              <w:bottom w:val="single" w:sz="4" w:space="0" w:color="auto"/>
              <w:right w:val="single" w:sz="8"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43,8</w:t>
            </w:r>
          </w:p>
        </w:tc>
      </w:tr>
      <w:tr w:rsidR="00C5314C" w:rsidTr="00256A66">
        <w:trPr>
          <w:trHeight w:val="255"/>
        </w:trPr>
        <w:tc>
          <w:tcPr>
            <w:tcW w:w="2709" w:type="dxa"/>
            <w:tcBorders>
              <w:top w:val="single" w:sz="4" w:space="0" w:color="auto"/>
              <w:left w:val="single" w:sz="8" w:space="0" w:color="auto"/>
              <w:bottom w:val="single" w:sz="4" w:space="0" w:color="auto"/>
              <w:right w:val="single" w:sz="8" w:space="0" w:color="auto"/>
            </w:tcBorders>
            <w:shd w:val="clear" w:color="auto" w:fill="D9D9D9"/>
            <w:noWrap/>
            <w:vAlign w:val="bottom"/>
            <w:hideMark/>
          </w:tcPr>
          <w:p w:rsidR="00C5314C" w:rsidRDefault="00C5314C" w:rsidP="00256A66">
            <w:pPr>
              <w:spacing w:after="0" w:line="240" w:lineRule="auto"/>
              <w:rPr>
                <w:color w:val="000000"/>
                <w:sz w:val="20"/>
                <w:szCs w:val="20"/>
                <w:lang w:eastAsia="cs-CZ"/>
              </w:rPr>
            </w:pPr>
            <w:r>
              <w:rPr>
                <w:color w:val="000000"/>
                <w:sz w:val="20"/>
                <w:szCs w:val="20"/>
                <w:lang w:eastAsia="cs-CZ"/>
              </w:rPr>
              <w:t>Zábřeh</w:t>
            </w:r>
          </w:p>
        </w:tc>
        <w:tc>
          <w:tcPr>
            <w:tcW w:w="1275"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6 461</w:t>
            </w:r>
          </w:p>
        </w:tc>
        <w:tc>
          <w:tcPr>
            <w:tcW w:w="127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6 983</w:t>
            </w:r>
          </w:p>
        </w:tc>
        <w:tc>
          <w:tcPr>
            <w:tcW w:w="1418"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13 444</w:t>
            </w:r>
          </w:p>
        </w:tc>
        <w:tc>
          <w:tcPr>
            <w:tcW w:w="850"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42,5</w:t>
            </w:r>
          </w:p>
        </w:tc>
        <w:tc>
          <w:tcPr>
            <w:tcW w:w="79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45,9</w:t>
            </w:r>
          </w:p>
        </w:tc>
        <w:tc>
          <w:tcPr>
            <w:tcW w:w="833" w:type="dxa"/>
            <w:tcBorders>
              <w:top w:val="nil"/>
              <w:left w:val="nil"/>
              <w:bottom w:val="single" w:sz="4" w:space="0" w:color="auto"/>
              <w:right w:val="single" w:sz="8"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44,3</w:t>
            </w:r>
          </w:p>
        </w:tc>
      </w:tr>
      <w:tr w:rsidR="00C5314C" w:rsidTr="00256A66">
        <w:trPr>
          <w:trHeight w:val="255"/>
        </w:trPr>
        <w:tc>
          <w:tcPr>
            <w:tcW w:w="2709" w:type="dxa"/>
            <w:tcBorders>
              <w:top w:val="single" w:sz="4" w:space="0" w:color="auto"/>
              <w:left w:val="single" w:sz="8" w:space="0" w:color="auto"/>
              <w:bottom w:val="single" w:sz="4" w:space="0" w:color="auto"/>
              <w:right w:val="single" w:sz="8" w:space="0" w:color="auto"/>
            </w:tcBorders>
            <w:shd w:val="clear" w:color="auto" w:fill="D9D9D9"/>
            <w:noWrap/>
            <w:vAlign w:val="bottom"/>
            <w:hideMark/>
          </w:tcPr>
          <w:p w:rsidR="00C5314C" w:rsidRDefault="00C5314C" w:rsidP="00256A66">
            <w:pPr>
              <w:spacing w:after="0" w:line="240" w:lineRule="auto"/>
              <w:rPr>
                <w:color w:val="000000"/>
                <w:sz w:val="20"/>
                <w:szCs w:val="20"/>
                <w:lang w:eastAsia="cs-CZ"/>
              </w:rPr>
            </w:pPr>
            <w:r>
              <w:rPr>
                <w:color w:val="000000"/>
                <w:sz w:val="20"/>
                <w:szCs w:val="20"/>
                <w:lang w:eastAsia="cs-CZ"/>
              </w:rPr>
              <w:t>Šternberk</w:t>
            </w:r>
          </w:p>
        </w:tc>
        <w:tc>
          <w:tcPr>
            <w:tcW w:w="1275"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6 379</w:t>
            </w:r>
          </w:p>
        </w:tc>
        <w:tc>
          <w:tcPr>
            <w:tcW w:w="127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6 885</w:t>
            </w:r>
          </w:p>
        </w:tc>
        <w:tc>
          <w:tcPr>
            <w:tcW w:w="1418"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13 264</w:t>
            </w:r>
          </w:p>
        </w:tc>
        <w:tc>
          <w:tcPr>
            <w:tcW w:w="850"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42,1</w:t>
            </w:r>
          </w:p>
        </w:tc>
        <w:tc>
          <w:tcPr>
            <w:tcW w:w="79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45,5</w:t>
            </w:r>
          </w:p>
        </w:tc>
        <w:tc>
          <w:tcPr>
            <w:tcW w:w="833" w:type="dxa"/>
            <w:tcBorders>
              <w:top w:val="nil"/>
              <w:left w:val="nil"/>
              <w:bottom w:val="single" w:sz="4" w:space="0" w:color="auto"/>
              <w:right w:val="single" w:sz="8"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43,8</w:t>
            </w:r>
          </w:p>
        </w:tc>
      </w:tr>
      <w:tr w:rsidR="00C5314C" w:rsidTr="00256A66">
        <w:trPr>
          <w:trHeight w:val="255"/>
        </w:trPr>
        <w:tc>
          <w:tcPr>
            <w:tcW w:w="2709" w:type="dxa"/>
            <w:tcBorders>
              <w:top w:val="single" w:sz="4" w:space="0" w:color="auto"/>
              <w:left w:val="single" w:sz="8" w:space="0" w:color="auto"/>
              <w:bottom w:val="single" w:sz="4" w:space="0" w:color="auto"/>
              <w:right w:val="single" w:sz="8" w:space="0" w:color="auto"/>
            </w:tcBorders>
            <w:shd w:val="clear" w:color="auto" w:fill="D9D9D9"/>
            <w:noWrap/>
            <w:vAlign w:val="bottom"/>
            <w:hideMark/>
          </w:tcPr>
          <w:p w:rsidR="00C5314C" w:rsidRDefault="00C5314C" w:rsidP="00256A66">
            <w:pPr>
              <w:spacing w:after="0" w:line="240" w:lineRule="auto"/>
              <w:rPr>
                <w:color w:val="000000"/>
                <w:sz w:val="20"/>
                <w:szCs w:val="20"/>
                <w:lang w:eastAsia="cs-CZ"/>
              </w:rPr>
            </w:pPr>
            <w:r>
              <w:rPr>
                <w:color w:val="000000"/>
                <w:sz w:val="20"/>
                <w:szCs w:val="20"/>
                <w:lang w:eastAsia="cs-CZ"/>
              </w:rPr>
              <w:t>Uničov</w:t>
            </w:r>
          </w:p>
        </w:tc>
        <w:tc>
          <w:tcPr>
            <w:tcW w:w="1275"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5 471</w:t>
            </w:r>
          </w:p>
        </w:tc>
        <w:tc>
          <w:tcPr>
            <w:tcW w:w="127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5 680</w:t>
            </w:r>
          </w:p>
        </w:tc>
        <w:tc>
          <w:tcPr>
            <w:tcW w:w="1418"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11 151</w:t>
            </w:r>
          </w:p>
        </w:tc>
        <w:tc>
          <w:tcPr>
            <w:tcW w:w="850"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42,9</w:t>
            </w:r>
          </w:p>
        </w:tc>
        <w:tc>
          <w:tcPr>
            <w:tcW w:w="79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47,0</w:t>
            </w:r>
          </w:p>
        </w:tc>
        <w:tc>
          <w:tcPr>
            <w:tcW w:w="833" w:type="dxa"/>
            <w:tcBorders>
              <w:top w:val="nil"/>
              <w:left w:val="nil"/>
              <w:bottom w:val="single" w:sz="4" w:space="0" w:color="auto"/>
              <w:right w:val="single" w:sz="8"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45,0</w:t>
            </w:r>
          </w:p>
        </w:tc>
      </w:tr>
      <w:tr w:rsidR="00C5314C" w:rsidTr="00256A66">
        <w:trPr>
          <w:trHeight w:val="255"/>
        </w:trPr>
        <w:tc>
          <w:tcPr>
            <w:tcW w:w="2709" w:type="dxa"/>
            <w:tcBorders>
              <w:top w:val="single" w:sz="4" w:space="0" w:color="auto"/>
              <w:left w:val="single" w:sz="8" w:space="0" w:color="auto"/>
              <w:bottom w:val="single" w:sz="4" w:space="0" w:color="auto"/>
              <w:right w:val="single" w:sz="8" w:space="0" w:color="auto"/>
            </w:tcBorders>
            <w:shd w:val="clear" w:color="auto" w:fill="D9D9D9"/>
            <w:noWrap/>
            <w:vAlign w:val="bottom"/>
            <w:hideMark/>
          </w:tcPr>
          <w:p w:rsidR="00C5314C" w:rsidRDefault="00C5314C" w:rsidP="00256A66">
            <w:pPr>
              <w:spacing w:after="0" w:line="240" w:lineRule="auto"/>
              <w:rPr>
                <w:color w:val="000000"/>
                <w:sz w:val="20"/>
                <w:szCs w:val="20"/>
                <w:lang w:eastAsia="cs-CZ"/>
              </w:rPr>
            </w:pPr>
            <w:r>
              <w:rPr>
                <w:color w:val="000000"/>
                <w:sz w:val="20"/>
                <w:szCs w:val="20"/>
                <w:lang w:eastAsia="cs-CZ"/>
              </w:rPr>
              <w:t>Jeseník</w:t>
            </w:r>
          </w:p>
        </w:tc>
        <w:tc>
          <w:tcPr>
            <w:tcW w:w="1275"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5 057</w:t>
            </w:r>
          </w:p>
        </w:tc>
        <w:tc>
          <w:tcPr>
            <w:tcW w:w="127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5 562</w:t>
            </w:r>
          </w:p>
        </w:tc>
        <w:tc>
          <w:tcPr>
            <w:tcW w:w="1418"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10 619</w:t>
            </w:r>
          </w:p>
        </w:tc>
        <w:tc>
          <w:tcPr>
            <w:tcW w:w="850"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44,2</w:t>
            </w:r>
          </w:p>
        </w:tc>
        <w:tc>
          <w:tcPr>
            <w:tcW w:w="79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47,9</w:t>
            </w:r>
          </w:p>
        </w:tc>
        <w:tc>
          <w:tcPr>
            <w:tcW w:w="833" w:type="dxa"/>
            <w:tcBorders>
              <w:top w:val="single" w:sz="4" w:space="0" w:color="auto"/>
              <w:left w:val="nil"/>
              <w:bottom w:val="single" w:sz="4" w:space="0" w:color="auto"/>
              <w:right w:val="single" w:sz="8" w:space="0" w:color="auto"/>
            </w:tcBorders>
            <w:shd w:val="clear" w:color="auto" w:fill="F4B083"/>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46,1</w:t>
            </w:r>
          </w:p>
        </w:tc>
      </w:tr>
      <w:tr w:rsidR="00C5314C" w:rsidTr="00256A66">
        <w:trPr>
          <w:trHeight w:val="255"/>
        </w:trPr>
        <w:tc>
          <w:tcPr>
            <w:tcW w:w="2709" w:type="dxa"/>
            <w:tcBorders>
              <w:top w:val="single" w:sz="4" w:space="0" w:color="auto"/>
              <w:left w:val="single" w:sz="8" w:space="0" w:color="auto"/>
              <w:bottom w:val="single" w:sz="4" w:space="0" w:color="auto"/>
              <w:right w:val="single" w:sz="8" w:space="0" w:color="auto"/>
            </w:tcBorders>
            <w:shd w:val="clear" w:color="auto" w:fill="D9D9D9"/>
            <w:noWrap/>
            <w:vAlign w:val="bottom"/>
            <w:hideMark/>
          </w:tcPr>
          <w:p w:rsidR="00C5314C" w:rsidRDefault="00C5314C" w:rsidP="00256A66">
            <w:pPr>
              <w:spacing w:after="0" w:line="240" w:lineRule="auto"/>
              <w:rPr>
                <w:color w:val="000000"/>
                <w:sz w:val="20"/>
                <w:szCs w:val="20"/>
                <w:lang w:eastAsia="cs-CZ"/>
              </w:rPr>
            </w:pPr>
            <w:r>
              <w:rPr>
                <w:color w:val="000000"/>
                <w:sz w:val="20"/>
                <w:szCs w:val="20"/>
                <w:lang w:eastAsia="cs-CZ"/>
              </w:rPr>
              <w:t>Litovel</w:t>
            </w:r>
          </w:p>
        </w:tc>
        <w:tc>
          <w:tcPr>
            <w:tcW w:w="1275"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4 720</w:t>
            </w:r>
          </w:p>
        </w:tc>
        <w:tc>
          <w:tcPr>
            <w:tcW w:w="127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4 969</w:t>
            </w:r>
          </w:p>
        </w:tc>
        <w:tc>
          <w:tcPr>
            <w:tcW w:w="1418"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9 689</w:t>
            </w:r>
          </w:p>
        </w:tc>
        <w:tc>
          <w:tcPr>
            <w:tcW w:w="850"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42,7</w:t>
            </w:r>
          </w:p>
        </w:tc>
        <w:tc>
          <w:tcPr>
            <w:tcW w:w="79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45,5</w:t>
            </w:r>
          </w:p>
        </w:tc>
        <w:tc>
          <w:tcPr>
            <w:tcW w:w="833" w:type="dxa"/>
            <w:tcBorders>
              <w:top w:val="nil"/>
              <w:left w:val="nil"/>
              <w:bottom w:val="single" w:sz="4" w:space="0" w:color="auto"/>
              <w:right w:val="single" w:sz="8"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44,1</w:t>
            </w:r>
          </w:p>
        </w:tc>
      </w:tr>
      <w:tr w:rsidR="00C5314C" w:rsidTr="00256A66">
        <w:trPr>
          <w:trHeight w:val="255"/>
        </w:trPr>
        <w:tc>
          <w:tcPr>
            <w:tcW w:w="2709" w:type="dxa"/>
            <w:tcBorders>
              <w:top w:val="single" w:sz="4" w:space="0" w:color="auto"/>
              <w:left w:val="single" w:sz="8" w:space="0" w:color="auto"/>
              <w:bottom w:val="single" w:sz="4" w:space="0" w:color="auto"/>
              <w:right w:val="single" w:sz="8" w:space="0" w:color="auto"/>
            </w:tcBorders>
            <w:shd w:val="clear" w:color="auto" w:fill="D9D9D9"/>
            <w:noWrap/>
            <w:vAlign w:val="bottom"/>
            <w:hideMark/>
          </w:tcPr>
          <w:p w:rsidR="00C5314C" w:rsidRDefault="00C5314C" w:rsidP="00256A66">
            <w:pPr>
              <w:spacing w:after="0" w:line="240" w:lineRule="auto"/>
              <w:rPr>
                <w:color w:val="000000"/>
                <w:sz w:val="20"/>
                <w:szCs w:val="20"/>
                <w:lang w:eastAsia="cs-CZ"/>
              </w:rPr>
            </w:pPr>
            <w:r>
              <w:rPr>
                <w:color w:val="000000"/>
                <w:sz w:val="20"/>
                <w:szCs w:val="20"/>
                <w:lang w:eastAsia="cs-CZ"/>
              </w:rPr>
              <w:t>Mohelnice</w:t>
            </w:r>
          </w:p>
        </w:tc>
        <w:tc>
          <w:tcPr>
            <w:tcW w:w="1275"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4 698</w:t>
            </w:r>
          </w:p>
        </w:tc>
        <w:tc>
          <w:tcPr>
            <w:tcW w:w="127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4 874</w:t>
            </w:r>
          </w:p>
        </w:tc>
        <w:tc>
          <w:tcPr>
            <w:tcW w:w="1418"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9 572</w:t>
            </w:r>
          </w:p>
        </w:tc>
        <w:tc>
          <w:tcPr>
            <w:tcW w:w="850"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41,2</w:t>
            </w:r>
          </w:p>
        </w:tc>
        <w:tc>
          <w:tcPr>
            <w:tcW w:w="79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45,1</w:t>
            </w:r>
          </w:p>
        </w:tc>
        <w:tc>
          <w:tcPr>
            <w:tcW w:w="833" w:type="dxa"/>
            <w:tcBorders>
              <w:top w:val="nil"/>
              <w:left w:val="nil"/>
              <w:bottom w:val="single" w:sz="4" w:space="0" w:color="auto"/>
              <w:right w:val="single" w:sz="8"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43,2</w:t>
            </w:r>
          </w:p>
        </w:tc>
      </w:tr>
      <w:tr w:rsidR="00C5314C" w:rsidTr="00256A66">
        <w:trPr>
          <w:trHeight w:val="255"/>
        </w:trPr>
        <w:tc>
          <w:tcPr>
            <w:tcW w:w="2709" w:type="dxa"/>
            <w:tcBorders>
              <w:top w:val="single" w:sz="4" w:space="0" w:color="auto"/>
              <w:left w:val="single" w:sz="8" w:space="0" w:color="auto"/>
              <w:bottom w:val="single" w:sz="4" w:space="0" w:color="auto"/>
              <w:right w:val="single" w:sz="8" w:space="0" w:color="auto"/>
            </w:tcBorders>
            <w:shd w:val="clear" w:color="auto" w:fill="D9D9D9"/>
            <w:noWrap/>
            <w:vAlign w:val="bottom"/>
            <w:hideMark/>
          </w:tcPr>
          <w:p w:rsidR="00C5314C" w:rsidRDefault="00C5314C" w:rsidP="00256A66">
            <w:pPr>
              <w:spacing w:after="0" w:line="240" w:lineRule="auto"/>
              <w:rPr>
                <w:color w:val="000000"/>
                <w:sz w:val="20"/>
                <w:szCs w:val="20"/>
                <w:lang w:eastAsia="cs-CZ"/>
              </w:rPr>
            </w:pPr>
            <w:r>
              <w:rPr>
                <w:color w:val="000000"/>
                <w:sz w:val="20"/>
                <w:szCs w:val="20"/>
                <w:lang w:eastAsia="cs-CZ"/>
              </w:rPr>
              <w:t>Lipník nad Bečvou</w:t>
            </w:r>
          </w:p>
        </w:tc>
        <w:tc>
          <w:tcPr>
            <w:tcW w:w="1275"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3 893</w:t>
            </w:r>
          </w:p>
        </w:tc>
        <w:tc>
          <w:tcPr>
            <w:tcW w:w="127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4 068</w:t>
            </w:r>
          </w:p>
        </w:tc>
        <w:tc>
          <w:tcPr>
            <w:tcW w:w="1418"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7 961</w:t>
            </w:r>
          </w:p>
        </w:tc>
        <w:tc>
          <w:tcPr>
            <w:tcW w:w="850"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42,0</w:t>
            </w:r>
          </w:p>
        </w:tc>
        <w:tc>
          <w:tcPr>
            <w:tcW w:w="796" w:type="dxa"/>
            <w:tcBorders>
              <w:top w:val="nil"/>
              <w:left w:val="nil"/>
              <w:bottom w:val="single" w:sz="4"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44,9</w:t>
            </w:r>
          </w:p>
        </w:tc>
        <w:tc>
          <w:tcPr>
            <w:tcW w:w="833" w:type="dxa"/>
            <w:tcBorders>
              <w:top w:val="nil"/>
              <w:left w:val="nil"/>
              <w:bottom w:val="single" w:sz="4" w:space="0" w:color="auto"/>
              <w:right w:val="single" w:sz="8"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43,5</w:t>
            </w:r>
          </w:p>
        </w:tc>
      </w:tr>
      <w:tr w:rsidR="00C5314C" w:rsidTr="00256A66">
        <w:trPr>
          <w:trHeight w:val="270"/>
        </w:trPr>
        <w:tc>
          <w:tcPr>
            <w:tcW w:w="2709" w:type="dxa"/>
            <w:tcBorders>
              <w:top w:val="single" w:sz="4" w:space="0" w:color="auto"/>
              <w:left w:val="single" w:sz="8" w:space="0" w:color="auto"/>
              <w:bottom w:val="single" w:sz="8" w:space="0" w:color="auto"/>
              <w:right w:val="single" w:sz="8" w:space="0" w:color="auto"/>
            </w:tcBorders>
            <w:shd w:val="clear" w:color="auto" w:fill="D9D9D9"/>
            <w:noWrap/>
            <w:vAlign w:val="bottom"/>
            <w:hideMark/>
          </w:tcPr>
          <w:p w:rsidR="00C5314C" w:rsidRDefault="00C5314C" w:rsidP="00256A66">
            <w:pPr>
              <w:spacing w:after="0" w:line="240" w:lineRule="auto"/>
              <w:rPr>
                <w:color w:val="000000"/>
                <w:sz w:val="20"/>
                <w:szCs w:val="20"/>
                <w:lang w:eastAsia="cs-CZ"/>
              </w:rPr>
            </w:pPr>
            <w:r>
              <w:rPr>
                <w:color w:val="000000"/>
                <w:sz w:val="20"/>
                <w:szCs w:val="20"/>
                <w:lang w:eastAsia="cs-CZ"/>
              </w:rPr>
              <w:t>Kojetín</w:t>
            </w:r>
          </w:p>
        </w:tc>
        <w:tc>
          <w:tcPr>
            <w:tcW w:w="1275" w:type="dxa"/>
            <w:tcBorders>
              <w:top w:val="nil"/>
              <w:left w:val="nil"/>
              <w:bottom w:val="single" w:sz="8"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2 875</w:t>
            </w:r>
          </w:p>
        </w:tc>
        <w:tc>
          <w:tcPr>
            <w:tcW w:w="1276" w:type="dxa"/>
            <w:tcBorders>
              <w:top w:val="nil"/>
              <w:left w:val="nil"/>
              <w:bottom w:val="single" w:sz="8"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2 915</w:t>
            </w:r>
          </w:p>
        </w:tc>
        <w:tc>
          <w:tcPr>
            <w:tcW w:w="1418" w:type="dxa"/>
            <w:tcBorders>
              <w:top w:val="nil"/>
              <w:left w:val="nil"/>
              <w:bottom w:val="single" w:sz="8"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5 790</w:t>
            </w:r>
          </w:p>
        </w:tc>
        <w:tc>
          <w:tcPr>
            <w:tcW w:w="850" w:type="dxa"/>
            <w:tcBorders>
              <w:top w:val="nil"/>
              <w:left w:val="nil"/>
              <w:bottom w:val="single" w:sz="8"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42,2</w:t>
            </w:r>
          </w:p>
        </w:tc>
        <w:tc>
          <w:tcPr>
            <w:tcW w:w="796" w:type="dxa"/>
            <w:tcBorders>
              <w:top w:val="nil"/>
              <w:left w:val="nil"/>
              <w:bottom w:val="single" w:sz="8" w:space="0" w:color="auto"/>
              <w:right w:val="single" w:sz="4"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45,6</w:t>
            </w:r>
          </w:p>
        </w:tc>
        <w:tc>
          <w:tcPr>
            <w:tcW w:w="833" w:type="dxa"/>
            <w:tcBorders>
              <w:top w:val="nil"/>
              <w:left w:val="nil"/>
              <w:bottom w:val="single" w:sz="8" w:space="0" w:color="auto"/>
              <w:right w:val="single" w:sz="8" w:space="0" w:color="auto"/>
            </w:tcBorders>
            <w:noWrap/>
            <w:vAlign w:val="bottom"/>
          </w:tcPr>
          <w:p w:rsidR="00C5314C" w:rsidRDefault="00C5314C" w:rsidP="00256A66">
            <w:pPr>
              <w:spacing w:after="0" w:line="240" w:lineRule="auto"/>
              <w:jc w:val="right"/>
              <w:rPr>
                <w:color w:val="000000"/>
                <w:sz w:val="20"/>
                <w:szCs w:val="20"/>
                <w:lang w:eastAsia="cs-CZ"/>
              </w:rPr>
            </w:pPr>
            <w:r>
              <w:rPr>
                <w:color w:val="000000"/>
                <w:sz w:val="20"/>
                <w:szCs w:val="20"/>
                <w:lang w:eastAsia="cs-CZ"/>
              </w:rPr>
              <w:t>43,9</w:t>
            </w:r>
          </w:p>
        </w:tc>
      </w:tr>
    </w:tbl>
    <w:p w:rsidR="00C5314C" w:rsidRPr="005C0DB8" w:rsidRDefault="00C5314C" w:rsidP="00C5314C">
      <w:pPr>
        <w:rPr>
          <w:rFonts w:ascii="Times New Roman" w:hAnsi="Times New Roman" w:cs="Times New Roman"/>
          <w:i/>
          <w:sz w:val="20"/>
          <w:szCs w:val="20"/>
        </w:rPr>
      </w:pPr>
      <w:r w:rsidRPr="005C0DB8">
        <w:rPr>
          <w:rFonts w:ascii="Times New Roman" w:hAnsi="Times New Roman" w:cs="Times New Roman"/>
          <w:i/>
          <w:sz w:val="20"/>
          <w:szCs w:val="20"/>
        </w:rPr>
        <w:t>Zdroj: ČSÚ, 2024</w:t>
      </w:r>
    </w:p>
    <w:p w:rsidR="00097C87" w:rsidRPr="00097C87" w:rsidRDefault="00097C87" w:rsidP="004A3002">
      <w:pPr>
        <w:rPr>
          <w:rFonts w:ascii="Times New Roman" w:hAnsi="Times New Roman" w:cs="Times New Roman"/>
          <w:sz w:val="24"/>
          <w:szCs w:val="24"/>
        </w:rPr>
      </w:pPr>
      <w:r w:rsidRPr="00097C87">
        <w:rPr>
          <w:rFonts w:ascii="Times New Roman" w:hAnsi="Times New Roman" w:cs="Times New Roman"/>
          <w:sz w:val="24"/>
          <w:szCs w:val="24"/>
        </w:rPr>
        <w:t xml:space="preserve">V celé České republice je trend zvyšování </w:t>
      </w:r>
      <w:r w:rsidRPr="00097C87">
        <w:rPr>
          <w:rFonts w:ascii="Times New Roman" w:hAnsi="Times New Roman" w:cs="Times New Roman"/>
          <w:bCs/>
          <w:sz w:val="24"/>
          <w:szCs w:val="24"/>
        </w:rPr>
        <w:t>průměrného věku matky při narození dítěte</w:t>
      </w:r>
      <w:r w:rsidRPr="00097C87">
        <w:rPr>
          <w:rFonts w:ascii="Times New Roman" w:hAnsi="Times New Roman" w:cs="Times New Roman"/>
          <w:sz w:val="24"/>
          <w:szCs w:val="24"/>
        </w:rPr>
        <w:t>. Ve SO ORP byl tento věk vyšší již v roce 2013 (31,1 let) a do roku 2023 se navýšil o 0,3 let na 31,4. Průměr v České republi</w:t>
      </w:r>
      <w:r w:rsidR="00F24EFD">
        <w:rPr>
          <w:rFonts w:ascii="Times New Roman" w:hAnsi="Times New Roman" w:cs="Times New Roman"/>
          <w:sz w:val="24"/>
          <w:szCs w:val="24"/>
        </w:rPr>
        <w:t>ce je přitom aktuálně 31,1 let,</w:t>
      </w:r>
      <w:r w:rsidRPr="00097C87">
        <w:rPr>
          <w:rFonts w:ascii="Times New Roman" w:hAnsi="Times New Roman" w:cs="Times New Roman"/>
          <w:sz w:val="24"/>
          <w:szCs w:val="24"/>
        </w:rPr>
        <w:t xml:space="preserve"> v Olomouckém kraji je hodnota nižší, a to 30,8 let.</w:t>
      </w:r>
    </w:p>
    <w:p w:rsidR="00097C87" w:rsidRDefault="00097C87" w:rsidP="00097C87">
      <w:pPr>
        <w:pStyle w:val="Titulek"/>
      </w:pPr>
      <w:r w:rsidRPr="00433C71">
        <w:t xml:space="preserve">Tabulka </w:t>
      </w:r>
      <w:r w:rsidR="00AE1E58">
        <w:t>5</w:t>
      </w:r>
      <w:r w:rsidRPr="00433C71">
        <w:t>:</w:t>
      </w:r>
      <w:r w:rsidRPr="00B30A16">
        <w:t xml:space="preserve"> </w:t>
      </w:r>
      <w:r>
        <w:t>Průměrný věk matky při narození dítěte – SO ORP Olomouc, Olomoucký kraj a ČR</w:t>
      </w:r>
    </w:p>
    <w:tbl>
      <w:tblPr>
        <w:tblW w:w="5193" w:type="pct"/>
        <w:tblLayout w:type="fixed"/>
        <w:tblCellMar>
          <w:left w:w="70" w:type="dxa"/>
          <w:right w:w="70" w:type="dxa"/>
        </w:tblCellMar>
        <w:tblLook w:val="04A0" w:firstRow="1" w:lastRow="0" w:firstColumn="1" w:lastColumn="0" w:noHBand="0" w:noVBand="1"/>
      </w:tblPr>
      <w:tblGrid>
        <w:gridCol w:w="1063"/>
        <w:gridCol w:w="2697"/>
        <w:gridCol w:w="528"/>
        <w:gridCol w:w="528"/>
        <w:gridCol w:w="528"/>
        <w:gridCol w:w="528"/>
        <w:gridCol w:w="528"/>
        <w:gridCol w:w="528"/>
        <w:gridCol w:w="528"/>
        <w:gridCol w:w="528"/>
        <w:gridCol w:w="528"/>
        <w:gridCol w:w="528"/>
        <w:gridCol w:w="528"/>
      </w:tblGrid>
      <w:tr w:rsidR="00097C87" w:rsidRPr="00A30B52" w:rsidTr="00256A66">
        <w:trPr>
          <w:trHeight w:val="264"/>
        </w:trPr>
        <w:tc>
          <w:tcPr>
            <w:tcW w:w="1964" w:type="pct"/>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097C87" w:rsidRPr="00A30B52" w:rsidRDefault="00097C87" w:rsidP="00256A66">
            <w:pPr>
              <w:jc w:val="center"/>
              <w:rPr>
                <w:rFonts w:ascii="Calibri" w:hAnsi="Calibri" w:cs="Calibri"/>
                <w:b/>
                <w:bCs/>
                <w:color w:val="000000"/>
                <w:sz w:val="18"/>
                <w:szCs w:val="18"/>
              </w:rPr>
            </w:pPr>
            <w:r w:rsidRPr="00A30B52">
              <w:rPr>
                <w:rFonts w:ascii="Calibri" w:hAnsi="Calibri" w:cs="Calibri"/>
                <w:b/>
                <w:bCs/>
                <w:color w:val="000000"/>
                <w:sz w:val="18"/>
                <w:szCs w:val="18"/>
              </w:rPr>
              <w:t> </w:t>
            </w:r>
          </w:p>
        </w:tc>
        <w:tc>
          <w:tcPr>
            <w:tcW w:w="276" w:type="pct"/>
            <w:tcBorders>
              <w:top w:val="single" w:sz="4" w:space="0" w:color="auto"/>
              <w:left w:val="nil"/>
              <w:bottom w:val="single" w:sz="4" w:space="0" w:color="auto"/>
              <w:right w:val="single" w:sz="4" w:space="0" w:color="auto"/>
            </w:tcBorders>
            <w:shd w:val="clear" w:color="000000" w:fill="F2F2F2"/>
            <w:noWrap/>
            <w:vAlign w:val="center"/>
            <w:hideMark/>
          </w:tcPr>
          <w:p w:rsidR="00097C87" w:rsidRPr="00A30B52" w:rsidRDefault="00097C87" w:rsidP="00256A66">
            <w:pPr>
              <w:jc w:val="center"/>
              <w:rPr>
                <w:rFonts w:ascii="Calibri" w:hAnsi="Calibri" w:cs="Calibri"/>
                <w:b/>
                <w:bCs/>
                <w:color w:val="000000"/>
                <w:sz w:val="18"/>
                <w:szCs w:val="18"/>
              </w:rPr>
            </w:pPr>
            <w:r w:rsidRPr="00A30B52">
              <w:rPr>
                <w:rFonts w:ascii="Calibri" w:hAnsi="Calibri" w:cs="Calibri"/>
                <w:b/>
                <w:bCs/>
                <w:color w:val="000000"/>
                <w:sz w:val="18"/>
                <w:szCs w:val="18"/>
              </w:rPr>
              <w:t>2013</w:t>
            </w:r>
          </w:p>
        </w:tc>
        <w:tc>
          <w:tcPr>
            <w:tcW w:w="276" w:type="pct"/>
            <w:tcBorders>
              <w:top w:val="single" w:sz="4" w:space="0" w:color="auto"/>
              <w:left w:val="nil"/>
              <w:bottom w:val="single" w:sz="4" w:space="0" w:color="auto"/>
              <w:right w:val="single" w:sz="4" w:space="0" w:color="auto"/>
            </w:tcBorders>
            <w:shd w:val="clear" w:color="000000" w:fill="F2F2F2"/>
            <w:noWrap/>
            <w:vAlign w:val="center"/>
            <w:hideMark/>
          </w:tcPr>
          <w:p w:rsidR="00097C87" w:rsidRPr="00A30B52" w:rsidRDefault="00097C87" w:rsidP="00256A66">
            <w:pPr>
              <w:jc w:val="center"/>
              <w:rPr>
                <w:rFonts w:ascii="Calibri" w:hAnsi="Calibri" w:cs="Calibri"/>
                <w:b/>
                <w:bCs/>
                <w:color w:val="000000"/>
                <w:sz w:val="18"/>
                <w:szCs w:val="18"/>
              </w:rPr>
            </w:pPr>
            <w:r w:rsidRPr="00A30B52">
              <w:rPr>
                <w:rFonts w:ascii="Calibri" w:hAnsi="Calibri" w:cs="Calibri"/>
                <w:b/>
                <w:bCs/>
                <w:color w:val="000000"/>
                <w:sz w:val="18"/>
                <w:szCs w:val="18"/>
              </w:rPr>
              <w:t>2014</w:t>
            </w:r>
          </w:p>
        </w:tc>
        <w:tc>
          <w:tcPr>
            <w:tcW w:w="276" w:type="pct"/>
            <w:tcBorders>
              <w:top w:val="single" w:sz="4" w:space="0" w:color="auto"/>
              <w:left w:val="nil"/>
              <w:bottom w:val="single" w:sz="4" w:space="0" w:color="auto"/>
              <w:right w:val="single" w:sz="4" w:space="0" w:color="auto"/>
            </w:tcBorders>
            <w:shd w:val="clear" w:color="000000" w:fill="F2F2F2"/>
            <w:noWrap/>
            <w:vAlign w:val="center"/>
            <w:hideMark/>
          </w:tcPr>
          <w:p w:rsidR="00097C87" w:rsidRPr="00A30B52" w:rsidRDefault="00097C87" w:rsidP="00256A66">
            <w:pPr>
              <w:jc w:val="center"/>
              <w:rPr>
                <w:rFonts w:ascii="Calibri" w:hAnsi="Calibri" w:cs="Calibri"/>
                <w:b/>
                <w:bCs/>
                <w:color w:val="000000"/>
                <w:sz w:val="18"/>
                <w:szCs w:val="18"/>
              </w:rPr>
            </w:pPr>
            <w:r w:rsidRPr="00A30B52">
              <w:rPr>
                <w:rFonts w:ascii="Calibri" w:hAnsi="Calibri" w:cs="Calibri"/>
                <w:b/>
                <w:bCs/>
                <w:color w:val="000000"/>
                <w:sz w:val="18"/>
                <w:szCs w:val="18"/>
              </w:rPr>
              <w:t>2015</w:t>
            </w:r>
          </w:p>
        </w:tc>
        <w:tc>
          <w:tcPr>
            <w:tcW w:w="276" w:type="pct"/>
            <w:tcBorders>
              <w:top w:val="single" w:sz="4" w:space="0" w:color="auto"/>
              <w:left w:val="nil"/>
              <w:bottom w:val="single" w:sz="4" w:space="0" w:color="auto"/>
              <w:right w:val="single" w:sz="4" w:space="0" w:color="auto"/>
            </w:tcBorders>
            <w:shd w:val="clear" w:color="000000" w:fill="F2F2F2"/>
            <w:noWrap/>
            <w:vAlign w:val="center"/>
            <w:hideMark/>
          </w:tcPr>
          <w:p w:rsidR="00097C87" w:rsidRPr="00A30B52" w:rsidRDefault="00097C87" w:rsidP="00256A66">
            <w:pPr>
              <w:jc w:val="center"/>
              <w:rPr>
                <w:rFonts w:ascii="Calibri" w:hAnsi="Calibri" w:cs="Calibri"/>
                <w:b/>
                <w:bCs/>
                <w:color w:val="000000"/>
                <w:sz w:val="18"/>
                <w:szCs w:val="18"/>
              </w:rPr>
            </w:pPr>
            <w:r w:rsidRPr="00A30B52">
              <w:rPr>
                <w:rFonts w:ascii="Calibri" w:hAnsi="Calibri" w:cs="Calibri"/>
                <w:b/>
                <w:bCs/>
                <w:color w:val="000000"/>
                <w:sz w:val="18"/>
                <w:szCs w:val="18"/>
              </w:rPr>
              <w:t>2016</w:t>
            </w:r>
          </w:p>
        </w:tc>
        <w:tc>
          <w:tcPr>
            <w:tcW w:w="276" w:type="pct"/>
            <w:tcBorders>
              <w:top w:val="single" w:sz="4" w:space="0" w:color="auto"/>
              <w:left w:val="nil"/>
              <w:bottom w:val="single" w:sz="4" w:space="0" w:color="auto"/>
              <w:right w:val="single" w:sz="4" w:space="0" w:color="auto"/>
            </w:tcBorders>
            <w:shd w:val="clear" w:color="000000" w:fill="F2F2F2"/>
            <w:noWrap/>
            <w:vAlign w:val="center"/>
            <w:hideMark/>
          </w:tcPr>
          <w:p w:rsidR="00097C87" w:rsidRPr="00A30B52" w:rsidRDefault="00097C87" w:rsidP="00256A66">
            <w:pPr>
              <w:jc w:val="center"/>
              <w:rPr>
                <w:rFonts w:ascii="Calibri" w:hAnsi="Calibri" w:cs="Calibri"/>
                <w:b/>
                <w:bCs/>
                <w:color w:val="000000"/>
                <w:sz w:val="18"/>
                <w:szCs w:val="18"/>
              </w:rPr>
            </w:pPr>
            <w:r w:rsidRPr="00A30B52">
              <w:rPr>
                <w:rFonts w:ascii="Calibri" w:hAnsi="Calibri" w:cs="Calibri"/>
                <w:b/>
                <w:bCs/>
                <w:color w:val="000000"/>
                <w:sz w:val="18"/>
                <w:szCs w:val="18"/>
              </w:rPr>
              <w:t>2017</w:t>
            </w:r>
          </w:p>
        </w:tc>
        <w:tc>
          <w:tcPr>
            <w:tcW w:w="276" w:type="pct"/>
            <w:tcBorders>
              <w:top w:val="single" w:sz="4" w:space="0" w:color="auto"/>
              <w:left w:val="nil"/>
              <w:bottom w:val="single" w:sz="4" w:space="0" w:color="auto"/>
              <w:right w:val="single" w:sz="4" w:space="0" w:color="auto"/>
            </w:tcBorders>
            <w:shd w:val="clear" w:color="000000" w:fill="F2F2F2"/>
            <w:noWrap/>
            <w:vAlign w:val="center"/>
            <w:hideMark/>
          </w:tcPr>
          <w:p w:rsidR="00097C87" w:rsidRPr="00A30B52" w:rsidRDefault="00097C87" w:rsidP="00256A66">
            <w:pPr>
              <w:jc w:val="center"/>
              <w:rPr>
                <w:rFonts w:ascii="Calibri" w:hAnsi="Calibri" w:cs="Calibri"/>
                <w:b/>
                <w:bCs/>
                <w:color w:val="000000"/>
                <w:sz w:val="18"/>
                <w:szCs w:val="18"/>
              </w:rPr>
            </w:pPr>
            <w:r w:rsidRPr="00A30B52">
              <w:rPr>
                <w:rFonts w:ascii="Calibri" w:hAnsi="Calibri" w:cs="Calibri"/>
                <w:b/>
                <w:bCs/>
                <w:color w:val="000000"/>
                <w:sz w:val="18"/>
                <w:szCs w:val="18"/>
              </w:rPr>
              <w:t>2018</w:t>
            </w:r>
          </w:p>
        </w:tc>
        <w:tc>
          <w:tcPr>
            <w:tcW w:w="276" w:type="pct"/>
            <w:tcBorders>
              <w:top w:val="single" w:sz="4" w:space="0" w:color="auto"/>
              <w:left w:val="nil"/>
              <w:bottom w:val="single" w:sz="4" w:space="0" w:color="auto"/>
              <w:right w:val="single" w:sz="4" w:space="0" w:color="auto"/>
            </w:tcBorders>
            <w:shd w:val="clear" w:color="000000" w:fill="F2F2F2"/>
            <w:noWrap/>
            <w:vAlign w:val="center"/>
            <w:hideMark/>
          </w:tcPr>
          <w:p w:rsidR="00097C87" w:rsidRPr="00A30B52" w:rsidRDefault="00097C87" w:rsidP="00256A66">
            <w:pPr>
              <w:jc w:val="center"/>
              <w:rPr>
                <w:rFonts w:ascii="Calibri" w:hAnsi="Calibri" w:cs="Calibri"/>
                <w:b/>
                <w:bCs/>
                <w:color w:val="000000"/>
                <w:sz w:val="18"/>
                <w:szCs w:val="18"/>
              </w:rPr>
            </w:pPr>
            <w:r w:rsidRPr="00A30B52">
              <w:rPr>
                <w:rFonts w:ascii="Calibri" w:hAnsi="Calibri" w:cs="Calibri"/>
                <w:b/>
                <w:bCs/>
                <w:color w:val="000000"/>
                <w:sz w:val="18"/>
                <w:szCs w:val="18"/>
              </w:rPr>
              <w:t>2019</w:t>
            </w:r>
          </w:p>
        </w:tc>
        <w:tc>
          <w:tcPr>
            <w:tcW w:w="276" w:type="pct"/>
            <w:tcBorders>
              <w:top w:val="single" w:sz="4" w:space="0" w:color="auto"/>
              <w:left w:val="nil"/>
              <w:bottom w:val="single" w:sz="4" w:space="0" w:color="auto"/>
              <w:right w:val="single" w:sz="4" w:space="0" w:color="auto"/>
            </w:tcBorders>
            <w:shd w:val="clear" w:color="000000" w:fill="F2F2F2"/>
            <w:noWrap/>
            <w:vAlign w:val="center"/>
            <w:hideMark/>
          </w:tcPr>
          <w:p w:rsidR="00097C87" w:rsidRPr="00A30B52" w:rsidRDefault="00097C87" w:rsidP="00256A66">
            <w:pPr>
              <w:jc w:val="center"/>
              <w:rPr>
                <w:rFonts w:ascii="Calibri" w:hAnsi="Calibri" w:cs="Calibri"/>
                <w:b/>
                <w:bCs/>
                <w:color w:val="000000"/>
                <w:sz w:val="18"/>
                <w:szCs w:val="18"/>
              </w:rPr>
            </w:pPr>
            <w:r w:rsidRPr="00A30B52">
              <w:rPr>
                <w:rFonts w:ascii="Calibri" w:hAnsi="Calibri" w:cs="Calibri"/>
                <w:b/>
                <w:bCs/>
                <w:color w:val="000000"/>
                <w:sz w:val="18"/>
                <w:szCs w:val="18"/>
              </w:rPr>
              <w:t>2020</w:t>
            </w:r>
          </w:p>
        </w:tc>
        <w:tc>
          <w:tcPr>
            <w:tcW w:w="276" w:type="pct"/>
            <w:tcBorders>
              <w:top w:val="single" w:sz="4" w:space="0" w:color="auto"/>
              <w:left w:val="nil"/>
              <w:bottom w:val="single" w:sz="4" w:space="0" w:color="auto"/>
              <w:right w:val="single" w:sz="4" w:space="0" w:color="auto"/>
            </w:tcBorders>
            <w:shd w:val="clear" w:color="000000" w:fill="F2F2F2"/>
            <w:noWrap/>
            <w:vAlign w:val="center"/>
            <w:hideMark/>
          </w:tcPr>
          <w:p w:rsidR="00097C87" w:rsidRPr="00A30B52" w:rsidRDefault="00097C87" w:rsidP="00256A66">
            <w:pPr>
              <w:jc w:val="center"/>
              <w:rPr>
                <w:rFonts w:ascii="Calibri" w:hAnsi="Calibri" w:cs="Calibri"/>
                <w:b/>
                <w:bCs/>
                <w:color w:val="000000"/>
                <w:sz w:val="18"/>
                <w:szCs w:val="18"/>
              </w:rPr>
            </w:pPr>
            <w:r w:rsidRPr="00A30B52">
              <w:rPr>
                <w:rFonts w:ascii="Calibri" w:hAnsi="Calibri" w:cs="Calibri"/>
                <w:b/>
                <w:bCs/>
                <w:color w:val="000000"/>
                <w:sz w:val="18"/>
                <w:szCs w:val="18"/>
              </w:rPr>
              <w:t>2021</w:t>
            </w:r>
          </w:p>
        </w:tc>
        <w:tc>
          <w:tcPr>
            <w:tcW w:w="276" w:type="pct"/>
            <w:tcBorders>
              <w:top w:val="single" w:sz="4" w:space="0" w:color="auto"/>
              <w:left w:val="nil"/>
              <w:bottom w:val="single" w:sz="4" w:space="0" w:color="auto"/>
              <w:right w:val="single" w:sz="4" w:space="0" w:color="auto"/>
            </w:tcBorders>
            <w:shd w:val="clear" w:color="000000" w:fill="F2F2F2"/>
            <w:noWrap/>
            <w:vAlign w:val="center"/>
            <w:hideMark/>
          </w:tcPr>
          <w:p w:rsidR="00097C87" w:rsidRPr="00A30B52" w:rsidRDefault="00097C87" w:rsidP="00256A66">
            <w:pPr>
              <w:jc w:val="center"/>
              <w:rPr>
                <w:rFonts w:ascii="Calibri" w:hAnsi="Calibri" w:cs="Calibri"/>
                <w:b/>
                <w:bCs/>
                <w:color w:val="000000"/>
                <w:sz w:val="18"/>
                <w:szCs w:val="18"/>
              </w:rPr>
            </w:pPr>
            <w:r w:rsidRPr="00A30B52">
              <w:rPr>
                <w:rFonts w:ascii="Calibri" w:hAnsi="Calibri" w:cs="Calibri"/>
                <w:b/>
                <w:bCs/>
                <w:color w:val="000000"/>
                <w:sz w:val="18"/>
                <w:szCs w:val="18"/>
              </w:rPr>
              <w:t>2022</w:t>
            </w:r>
          </w:p>
        </w:tc>
        <w:tc>
          <w:tcPr>
            <w:tcW w:w="276" w:type="pct"/>
            <w:tcBorders>
              <w:top w:val="single" w:sz="4" w:space="0" w:color="auto"/>
              <w:left w:val="nil"/>
              <w:bottom w:val="single" w:sz="4" w:space="0" w:color="auto"/>
              <w:right w:val="single" w:sz="4" w:space="0" w:color="auto"/>
            </w:tcBorders>
            <w:shd w:val="clear" w:color="000000" w:fill="F2F2F2"/>
            <w:noWrap/>
            <w:vAlign w:val="center"/>
            <w:hideMark/>
          </w:tcPr>
          <w:p w:rsidR="00097C87" w:rsidRPr="00A30B52" w:rsidRDefault="00097C87" w:rsidP="00256A66">
            <w:pPr>
              <w:jc w:val="center"/>
              <w:rPr>
                <w:rFonts w:ascii="Calibri" w:hAnsi="Calibri" w:cs="Calibri"/>
                <w:b/>
                <w:bCs/>
                <w:color w:val="000000"/>
                <w:sz w:val="18"/>
                <w:szCs w:val="18"/>
              </w:rPr>
            </w:pPr>
            <w:r w:rsidRPr="00A30B52">
              <w:rPr>
                <w:rFonts w:ascii="Calibri" w:hAnsi="Calibri" w:cs="Calibri"/>
                <w:b/>
                <w:bCs/>
                <w:color w:val="000000"/>
                <w:sz w:val="18"/>
                <w:szCs w:val="18"/>
              </w:rPr>
              <w:t>2023</w:t>
            </w:r>
          </w:p>
        </w:tc>
      </w:tr>
      <w:tr w:rsidR="00097C87" w:rsidRPr="00A30B52" w:rsidTr="00256A66">
        <w:trPr>
          <w:trHeight w:val="264"/>
        </w:trPr>
        <w:tc>
          <w:tcPr>
            <w:tcW w:w="55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97C87" w:rsidRPr="00A30B52" w:rsidRDefault="00097C87" w:rsidP="00256A66">
            <w:pPr>
              <w:jc w:val="center"/>
              <w:rPr>
                <w:rFonts w:ascii="Calibri" w:hAnsi="Calibri" w:cs="Calibri"/>
                <w:color w:val="000000"/>
                <w:sz w:val="18"/>
                <w:szCs w:val="18"/>
              </w:rPr>
            </w:pPr>
            <w:r w:rsidRPr="00A30B52">
              <w:rPr>
                <w:rFonts w:ascii="Calibri" w:hAnsi="Calibri" w:cs="Calibri"/>
                <w:color w:val="000000"/>
                <w:sz w:val="18"/>
                <w:szCs w:val="18"/>
              </w:rPr>
              <w:t>SO ORP Olomouc</w:t>
            </w:r>
          </w:p>
        </w:tc>
        <w:tc>
          <w:tcPr>
            <w:tcW w:w="1408" w:type="pct"/>
            <w:tcBorders>
              <w:top w:val="nil"/>
              <w:left w:val="nil"/>
              <w:bottom w:val="single" w:sz="4" w:space="0" w:color="auto"/>
              <w:right w:val="single" w:sz="4" w:space="0" w:color="auto"/>
            </w:tcBorders>
            <w:shd w:val="clear" w:color="auto" w:fill="auto"/>
            <w:noWrap/>
            <w:vAlign w:val="bottom"/>
            <w:hideMark/>
          </w:tcPr>
          <w:p w:rsidR="00097C87" w:rsidRPr="00A30B52" w:rsidRDefault="00097C87" w:rsidP="00256A66">
            <w:pPr>
              <w:rPr>
                <w:rFonts w:ascii="Calibri" w:hAnsi="Calibri" w:cs="Calibri"/>
                <w:color w:val="000000"/>
                <w:sz w:val="18"/>
                <w:szCs w:val="18"/>
              </w:rPr>
            </w:pPr>
            <w:r w:rsidRPr="00A30B52">
              <w:rPr>
                <w:rFonts w:ascii="Calibri" w:hAnsi="Calibri" w:cs="Calibri"/>
                <w:color w:val="000000"/>
                <w:sz w:val="18"/>
                <w:szCs w:val="18"/>
              </w:rPr>
              <w:t>Průměrný věk matky při narození</w:t>
            </w:r>
          </w:p>
        </w:tc>
        <w:tc>
          <w:tcPr>
            <w:tcW w:w="276" w:type="pct"/>
            <w:tcBorders>
              <w:top w:val="single" w:sz="4" w:space="0" w:color="auto"/>
              <w:left w:val="single" w:sz="4" w:space="0" w:color="auto"/>
              <w:bottom w:val="single" w:sz="4" w:space="0" w:color="auto"/>
              <w:right w:val="single" w:sz="4" w:space="0" w:color="auto"/>
            </w:tcBorders>
            <w:shd w:val="clear" w:color="000000" w:fill="FA9698"/>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31,1</w:t>
            </w:r>
          </w:p>
        </w:tc>
        <w:tc>
          <w:tcPr>
            <w:tcW w:w="276" w:type="pct"/>
            <w:tcBorders>
              <w:top w:val="single" w:sz="4" w:space="0" w:color="auto"/>
              <w:left w:val="single" w:sz="4" w:space="0" w:color="auto"/>
              <w:bottom w:val="single" w:sz="4" w:space="0" w:color="auto"/>
              <w:right w:val="single" w:sz="4" w:space="0" w:color="auto"/>
            </w:tcBorders>
            <w:shd w:val="clear" w:color="000000" w:fill="FAA5A7"/>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30,9</w:t>
            </w:r>
          </w:p>
        </w:tc>
        <w:tc>
          <w:tcPr>
            <w:tcW w:w="276" w:type="pct"/>
            <w:tcBorders>
              <w:top w:val="single" w:sz="4" w:space="0" w:color="auto"/>
              <w:left w:val="single" w:sz="4" w:space="0" w:color="auto"/>
              <w:bottom w:val="single" w:sz="4" w:space="0" w:color="auto"/>
              <w:right w:val="single" w:sz="4" w:space="0" w:color="auto"/>
            </w:tcBorders>
            <w:shd w:val="clear" w:color="000000" w:fill="F9888A"/>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31,3</w:t>
            </w:r>
          </w:p>
        </w:tc>
        <w:tc>
          <w:tcPr>
            <w:tcW w:w="276" w:type="pct"/>
            <w:tcBorders>
              <w:top w:val="single" w:sz="4" w:space="0" w:color="auto"/>
              <w:left w:val="single" w:sz="4" w:space="0" w:color="auto"/>
              <w:bottom w:val="single" w:sz="4" w:space="0" w:color="auto"/>
              <w:right w:val="single" w:sz="4" w:space="0" w:color="auto"/>
            </w:tcBorders>
            <w:shd w:val="clear" w:color="000000" w:fill="F9898B"/>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31,2</w:t>
            </w:r>
          </w:p>
        </w:tc>
        <w:tc>
          <w:tcPr>
            <w:tcW w:w="276" w:type="pct"/>
            <w:tcBorders>
              <w:top w:val="single" w:sz="4" w:space="0" w:color="auto"/>
              <w:left w:val="single" w:sz="4" w:space="0" w:color="auto"/>
              <w:bottom w:val="single" w:sz="4" w:space="0" w:color="auto"/>
              <w:right w:val="single" w:sz="4" w:space="0" w:color="auto"/>
            </w:tcBorders>
            <w:shd w:val="clear" w:color="000000" w:fill="F9898C"/>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31,2</w:t>
            </w:r>
          </w:p>
        </w:tc>
        <w:tc>
          <w:tcPr>
            <w:tcW w:w="276" w:type="pct"/>
            <w:tcBorders>
              <w:top w:val="single" w:sz="4" w:space="0" w:color="auto"/>
              <w:left w:val="single" w:sz="4" w:space="0" w:color="auto"/>
              <w:bottom w:val="single" w:sz="4" w:space="0" w:color="auto"/>
              <w:right w:val="single" w:sz="4" w:space="0" w:color="auto"/>
            </w:tcBorders>
            <w:shd w:val="clear" w:color="000000" w:fill="FA9396"/>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31,1</w:t>
            </w:r>
          </w:p>
        </w:tc>
        <w:tc>
          <w:tcPr>
            <w:tcW w:w="276" w:type="pct"/>
            <w:tcBorders>
              <w:top w:val="single" w:sz="4" w:space="0" w:color="auto"/>
              <w:left w:val="single" w:sz="4" w:space="0" w:color="auto"/>
              <w:bottom w:val="single" w:sz="4" w:space="0" w:color="auto"/>
              <w:right w:val="single" w:sz="4" w:space="0" w:color="auto"/>
            </w:tcBorders>
            <w:shd w:val="clear" w:color="000000" w:fill="F98082"/>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31,3</w:t>
            </w:r>
          </w:p>
        </w:tc>
        <w:tc>
          <w:tcPr>
            <w:tcW w:w="276" w:type="pct"/>
            <w:tcBorders>
              <w:top w:val="single" w:sz="4" w:space="0" w:color="auto"/>
              <w:left w:val="single" w:sz="4" w:space="0" w:color="auto"/>
              <w:bottom w:val="single" w:sz="4" w:space="0" w:color="auto"/>
              <w:right w:val="single" w:sz="4" w:space="0" w:color="auto"/>
            </w:tcBorders>
            <w:shd w:val="clear" w:color="000000" w:fill="F98486"/>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31,3</w:t>
            </w:r>
          </w:p>
        </w:tc>
        <w:tc>
          <w:tcPr>
            <w:tcW w:w="276" w:type="pct"/>
            <w:tcBorders>
              <w:top w:val="single" w:sz="4" w:space="0" w:color="auto"/>
              <w:left w:val="single" w:sz="4" w:space="0" w:color="auto"/>
              <w:bottom w:val="single" w:sz="4" w:space="0" w:color="auto"/>
              <w:right w:val="single" w:sz="4" w:space="0" w:color="auto"/>
            </w:tcBorders>
            <w:shd w:val="clear" w:color="000000" w:fill="F96B6D"/>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31,6</w:t>
            </w:r>
          </w:p>
        </w:tc>
        <w:tc>
          <w:tcPr>
            <w:tcW w:w="276" w:type="pct"/>
            <w:tcBorders>
              <w:top w:val="single" w:sz="4" w:space="0" w:color="auto"/>
              <w:left w:val="single" w:sz="4" w:space="0" w:color="auto"/>
              <w:bottom w:val="single" w:sz="4" w:space="0" w:color="auto"/>
              <w:right w:val="single" w:sz="4" w:space="0" w:color="auto"/>
            </w:tcBorders>
            <w:shd w:val="clear" w:color="000000" w:fill="F8696B"/>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31,6</w:t>
            </w:r>
          </w:p>
        </w:tc>
        <w:tc>
          <w:tcPr>
            <w:tcW w:w="276" w:type="pct"/>
            <w:tcBorders>
              <w:top w:val="single" w:sz="4" w:space="0" w:color="auto"/>
              <w:left w:val="single" w:sz="4" w:space="0" w:color="auto"/>
              <w:bottom w:val="single" w:sz="4" w:space="0" w:color="auto"/>
              <w:right w:val="single" w:sz="4" w:space="0" w:color="auto"/>
            </w:tcBorders>
            <w:shd w:val="clear" w:color="000000" w:fill="F97D7F"/>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31,4</w:t>
            </w:r>
          </w:p>
        </w:tc>
      </w:tr>
      <w:tr w:rsidR="00097C87" w:rsidRPr="00A30B52" w:rsidTr="00256A66">
        <w:trPr>
          <w:trHeight w:val="264"/>
        </w:trPr>
        <w:tc>
          <w:tcPr>
            <w:tcW w:w="555" w:type="pct"/>
            <w:vMerge/>
            <w:tcBorders>
              <w:top w:val="nil"/>
              <w:left w:val="single" w:sz="4" w:space="0" w:color="auto"/>
              <w:bottom w:val="single" w:sz="4" w:space="0" w:color="auto"/>
              <w:right w:val="single" w:sz="4" w:space="0" w:color="auto"/>
            </w:tcBorders>
            <w:vAlign w:val="center"/>
            <w:hideMark/>
          </w:tcPr>
          <w:p w:rsidR="00097C87" w:rsidRPr="00A30B52" w:rsidRDefault="00097C87" w:rsidP="00256A66">
            <w:pPr>
              <w:rPr>
                <w:rFonts w:ascii="Calibri" w:hAnsi="Calibri" w:cs="Calibri"/>
                <w:color w:val="000000"/>
                <w:sz w:val="18"/>
                <w:szCs w:val="18"/>
              </w:rPr>
            </w:pPr>
          </w:p>
        </w:tc>
        <w:tc>
          <w:tcPr>
            <w:tcW w:w="1408" w:type="pct"/>
            <w:tcBorders>
              <w:top w:val="nil"/>
              <w:left w:val="nil"/>
              <w:bottom w:val="single" w:sz="4" w:space="0" w:color="auto"/>
              <w:right w:val="single" w:sz="4" w:space="0" w:color="auto"/>
            </w:tcBorders>
            <w:shd w:val="clear" w:color="auto" w:fill="auto"/>
            <w:noWrap/>
            <w:vAlign w:val="bottom"/>
            <w:hideMark/>
          </w:tcPr>
          <w:p w:rsidR="00097C87" w:rsidRPr="00A30B52" w:rsidRDefault="00097C87" w:rsidP="00256A66">
            <w:pPr>
              <w:rPr>
                <w:rFonts w:ascii="Calibri" w:hAnsi="Calibri" w:cs="Calibri"/>
                <w:color w:val="000000"/>
                <w:sz w:val="18"/>
                <w:szCs w:val="18"/>
              </w:rPr>
            </w:pPr>
            <w:r w:rsidRPr="00A30B52">
              <w:rPr>
                <w:rFonts w:ascii="Calibri" w:hAnsi="Calibri" w:cs="Calibri"/>
                <w:color w:val="000000"/>
                <w:sz w:val="18"/>
                <w:szCs w:val="18"/>
              </w:rPr>
              <w:t xml:space="preserve">Průměrný věk matky </w:t>
            </w:r>
            <w:r w:rsidRPr="00A30B52">
              <w:rPr>
                <w:rFonts w:ascii="Calibri" w:hAnsi="Calibri" w:cs="Calibri"/>
                <w:color w:val="000000"/>
                <w:sz w:val="18"/>
                <w:szCs w:val="18"/>
              </w:rPr>
              <w:br/>
              <w:t>při narození 1. dítěte</w:t>
            </w:r>
          </w:p>
        </w:tc>
        <w:tc>
          <w:tcPr>
            <w:tcW w:w="276" w:type="pct"/>
            <w:tcBorders>
              <w:top w:val="single" w:sz="4" w:space="0" w:color="auto"/>
              <w:left w:val="single" w:sz="4" w:space="0" w:color="auto"/>
              <w:bottom w:val="single" w:sz="4" w:space="0" w:color="auto"/>
              <w:right w:val="single" w:sz="4" w:space="0" w:color="auto"/>
            </w:tcBorders>
            <w:shd w:val="clear" w:color="000000" w:fill="B8CCE7"/>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29,3</w:t>
            </w:r>
          </w:p>
        </w:tc>
        <w:tc>
          <w:tcPr>
            <w:tcW w:w="276" w:type="pct"/>
            <w:tcBorders>
              <w:top w:val="single" w:sz="4" w:space="0" w:color="auto"/>
              <w:left w:val="single" w:sz="4" w:space="0" w:color="auto"/>
              <w:bottom w:val="single" w:sz="4" w:space="0" w:color="auto"/>
              <w:right w:val="single" w:sz="4" w:space="0" w:color="auto"/>
            </w:tcBorders>
            <w:shd w:val="clear" w:color="000000" w:fill="B2C8E5"/>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29,2</w:t>
            </w:r>
          </w:p>
        </w:tc>
        <w:tc>
          <w:tcPr>
            <w:tcW w:w="276" w:type="pct"/>
            <w:tcBorders>
              <w:top w:val="single" w:sz="4" w:space="0" w:color="auto"/>
              <w:left w:val="single" w:sz="4" w:space="0" w:color="auto"/>
              <w:bottom w:val="single" w:sz="4" w:space="0" w:color="auto"/>
              <w:right w:val="single" w:sz="4" w:space="0" w:color="auto"/>
            </w:tcBorders>
            <w:shd w:val="clear" w:color="000000" w:fill="DDE6F4"/>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29,6</w:t>
            </w:r>
          </w:p>
        </w:tc>
        <w:tc>
          <w:tcPr>
            <w:tcW w:w="276" w:type="pct"/>
            <w:tcBorders>
              <w:top w:val="single" w:sz="4" w:space="0" w:color="auto"/>
              <w:left w:val="single" w:sz="4" w:space="0" w:color="auto"/>
              <w:bottom w:val="single" w:sz="4" w:space="0" w:color="auto"/>
              <w:right w:val="single" w:sz="4" w:space="0" w:color="auto"/>
            </w:tcBorders>
            <w:shd w:val="clear" w:color="000000" w:fill="E7EDF7"/>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29,7</w:t>
            </w:r>
          </w:p>
        </w:tc>
        <w:tc>
          <w:tcPr>
            <w:tcW w:w="276" w:type="pct"/>
            <w:tcBorders>
              <w:top w:val="single" w:sz="4" w:space="0" w:color="auto"/>
              <w:left w:val="single" w:sz="4" w:space="0" w:color="auto"/>
              <w:bottom w:val="single" w:sz="4" w:space="0" w:color="auto"/>
              <w:right w:val="single" w:sz="4" w:space="0" w:color="auto"/>
            </w:tcBorders>
            <w:shd w:val="clear" w:color="000000" w:fill="C6D6EC"/>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29,4</w:t>
            </w:r>
          </w:p>
        </w:tc>
        <w:tc>
          <w:tcPr>
            <w:tcW w:w="276" w:type="pct"/>
            <w:tcBorders>
              <w:top w:val="single" w:sz="4" w:space="0" w:color="auto"/>
              <w:left w:val="single" w:sz="4" w:space="0" w:color="auto"/>
              <w:bottom w:val="single" w:sz="4" w:space="0" w:color="auto"/>
              <w:right w:val="single" w:sz="4" w:space="0" w:color="auto"/>
            </w:tcBorders>
            <w:shd w:val="clear" w:color="000000" w:fill="B2C8E5"/>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29,2</w:t>
            </w:r>
          </w:p>
        </w:tc>
        <w:tc>
          <w:tcPr>
            <w:tcW w:w="276" w:type="pct"/>
            <w:tcBorders>
              <w:top w:val="single" w:sz="4" w:space="0" w:color="auto"/>
              <w:left w:val="single" w:sz="4" w:space="0" w:color="auto"/>
              <w:bottom w:val="single" w:sz="4" w:space="0" w:color="auto"/>
              <w:right w:val="single" w:sz="4" w:space="0" w:color="auto"/>
            </w:tcBorders>
            <w:shd w:val="clear" w:color="000000" w:fill="CEDCEF"/>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29,5</w:t>
            </w:r>
          </w:p>
        </w:tc>
        <w:tc>
          <w:tcPr>
            <w:tcW w:w="276" w:type="pct"/>
            <w:tcBorders>
              <w:top w:val="single" w:sz="4" w:space="0" w:color="auto"/>
              <w:left w:val="single" w:sz="4" w:space="0" w:color="auto"/>
              <w:bottom w:val="single" w:sz="4" w:space="0" w:color="auto"/>
              <w:right w:val="single" w:sz="4" w:space="0" w:color="auto"/>
            </w:tcBorders>
            <w:shd w:val="clear" w:color="000000" w:fill="E4EBF6"/>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29,7</w:t>
            </w:r>
          </w:p>
        </w:tc>
        <w:tc>
          <w:tcPr>
            <w:tcW w:w="276" w:type="pct"/>
            <w:tcBorders>
              <w:top w:val="single" w:sz="4" w:space="0" w:color="auto"/>
              <w:left w:val="single" w:sz="4" w:space="0" w:color="auto"/>
              <w:bottom w:val="single" w:sz="4" w:space="0" w:color="auto"/>
              <w:right w:val="single" w:sz="4" w:space="0" w:color="auto"/>
            </w:tcBorders>
            <w:shd w:val="clear" w:color="000000" w:fill="FCF8FB"/>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30,0</w:t>
            </w:r>
          </w:p>
        </w:tc>
        <w:tc>
          <w:tcPr>
            <w:tcW w:w="276" w:type="pct"/>
            <w:tcBorders>
              <w:top w:val="single" w:sz="4" w:space="0" w:color="auto"/>
              <w:left w:val="single" w:sz="4" w:space="0" w:color="auto"/>
              <w:bottom w:val="single" w:sz="4" w:space="0" w:color="auto"/>
              <w:right w:val="single" w:sz="4" w:space="0" w:color="auto"/>
            </w:tcBorders>
            <w:shd w:val="clear" w:color="000000" w:fill="E1E9F5"/>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29,7</w:t>
            </w:r>
          </w:p>
        </w:tc>
        <w:tc>
          <w:tcPr>
            <w:tcW w:w="276" w:type="pct"/>
            <w:tcBorders>
              <w:top w:val="single" w:sz="4" w:space="0" w:color="auto"/>
              <w:left w:val="single" w:sz="4" w:space="0" w:color="auto"/>
              <w:bottom w:val="single" w:sz="4" w:space="0" w:color="auto"/>
              <w:right w:val="single" w:sz="4" w:space="0" w:color="auto"/>
            </w:tcBorders>
            <w:shd w:val="clear" w:color="000000" w:fill="F1F4FB"/>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29,8</w:t>
            </w:r>
          </w:p>
        </w:tc>
      </w:tr>
      <w:tr w:rsidR="00097C87" w:rsidRPr="00A30B52" w:rsidTr="00256A66">
        <w:trPr>
          <w:trHeight w:val="264"/>
        </w:trPr>
        <w:tc>
          <w:tcPr>
            <w:tcW w:w="55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97C87" w:rsidRPr="00A30B52" w:rsidRDefault="00097C87" w:rsidP="00256A66">
            <w:pPr>
              <w:jc w:val="center"/>
              <w:rPr>
                <w:rFonts w:ascii="Calibri" w:hAnsi="Calibri" w:cs="Calibri"/>
                <w:color w:val="000000"/>
                <w:sz w:val="18"/>
                <w:szCs w:val="18"/>
              </w:rPr>
            </w:pPr>
            <w:r w:rsidRPr="00A30B52">
              <w:rPr>
                <w:rFonts w:ascii="Calibri" w:hAnsi="Calibri" w:cs="Calibri"/>
                <w:color w:val="000000"/>
                <w:sz w:val="18"/>
                <w:szCs w:val="18"/>
              </w:rPr>
              <w:t>Olomoucký kraj</w:t>
            </w:r>
          </w:p>
        </w:tc>
        <w:tc>
          <w:tcPr>
            <w:tcW w:w="1408" w:type="pct"/>
            <w:tcBorders>
              <w:top w:val="nil"/>
              <w:left w:val="nil"/>
              <w:bottom w:val="single" w:sz="4" w:space="0" w:color="auto"/>
              <w:right w:val="single" w:sz="4" w:space="0" w:color="auto"/>
            </w:tcBorders>
            <w:shd w:val="clear" w:color="auto" w:fill="auto"/>
            <w:noWrap/>
            <w:vAlign w:val="bottom"/>
            <w:hideMark/>
          </w:tcPr>
          <w:p w:rsidR="00097C87" w:rsidRPr="00A30B52" w:rsidRDefault="00097C87" w:rsidP="00256A66">
            <w:pPr>
              <w:rPr>
                <w:rFonts w:ascii="Calibri" w:hAnsi="Calibri" w:cs="Calibri"/>
                <w:color w:val="000000"/>
                <w:sz w:val="18"/>
                <w:szCs w:val="18"/>
              </w:rPr>
            </w:pPr>
            <w:r w:rsidRPr="00A30B52">
              <w:rPr>
                <w:rFonts w:ascii="Calibri" w:hAnsi="Calibri" w:cs="Calibri"/>
                <w:color w:val="000000"/>
                <w:sz w:val="18"/>
                <w:szCs w:val="18"/>
              </w:rPr>
              <w:t>Průměrný věk matky při narození</w:t>
            </w:r>
          </w:p>
        </w:tc>
        <w:tc>
          <w:tcPr>
            <w:tcW w:w="276" w:type="pct"/>
            <w:tcBorders>
              <w:top w:val="single" w:sz="4" w:space="0" w:color="auto"/>
              <w:left w:val="single" w:sz="4" w:space="0" w:color="auto"/>
              <w:bottom w:val="single" w:sz="4" w:space="0" w:color="auto"/>
              <w:right w:val="single" w:sz="4" w:space="0" w:color="auto"/>
            </w:tcBorders>
            <w:shd w:val="clear" w:color="000000" w:fill="FCD9DC"/>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30,3</w:t>
            </w:r>
          </w:p>
        </w:tc>
        <w:tc>
          <w:tcPr>
            <w:tcW w:w="276" w:type="pct"/>
            <w:tcBorders>
              <w:top w:val="single" w:sz="4" w:space="0" w:color="auto"/>
              <w:left w:val="single" w:sz="4" w:space="0" w:color="auto"/>
              <w:bottom w:val="single" w:sz="4" w:space="0" w:color="auto"/>
              <w:right w:val="single" w:sz="4" w:space="0" w:color="auto"/>
            </w:tcBorders>
            <w:shd w:val="clear" w:color="000000" w:fill="FBD6D8"/>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30,4</w:t>
            </w:r>
          </w:p>
        </w:tc>
        <w:tc>
          <w:tcPr>
            <w:tcW w:w="276" w:type="pct"/>
            <w:tcBorders>
              <w:top w:val="single" w:sz="4" w:space="0" w:color="auto"/>
              <w:left w:val="single" w:sz="4" w:space="0" w:color="auto"/>
              <w:bottom w:val="single" w:sz="4" w:space="0" w:color="auto"/>
              <w:right w:val="single" w:sz="4" w:space="0" w:color="auto"/>
            </w:tcBorders>
            <w:shd w:val="clear" w:color="000000" w:fill="FBD3D6"/>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30,4</w:t>
            </w:r>
          </w:p>
        </w:tc>
        <w:tc>
          <w:tcPr>
            <w:tcW w:w="276" w:type="pct"/>
            <w:tcBorders>
              <w:top w:val="single" w:sz="4" w:space="0" w:color="auto"/>
              <w:left w:val="single" w:sz="4" w:space="0" w:color="auto"/>
              <w:bottom w:val="single" w:sz="4" w:space="0" w:color="auto"/>
              <w:right w:val="single" w:sz="4" w:space="0" w:color="auto"/>
            </w:tcBorders>
            <w:shd w:val="clear" w:color="000000" w:fill="FBCFD2"/>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30,4</w:t>
            </w:r>
          </w:p>
        </w:tc>
        <w:tc>
          <w:tcPr>
            <w:tcW w:w="276" w:type="pct"/>
            <w:tcBorders>
              <w:top w:val="single" w:sz="4" w:space="0" w:color="auto"/>
              <w:left w:val="single" w:sz="4" w:space="0" w:color="auto"/>
              <w:bottom w:val="single" w:sz="4" w:space="0" w:color="auto"/>
              <w:right w:val="single" w:sz="4" w:space="0" w:color="auto"/>
            </w:tcBorders>
            <w:shd w:val="clear" w:color="000000" w:fill="FBC7C9"/>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30,5</w:t>
            </w:r>
          </w:p>
        </w:tc>
        <w:tc>
          <w:tcPr>
            <w:tcW w:w="276" w:type="pct"/>
            <w:tcBorders>
              <w:top w:val="single" w:sz="4" w:space="0" w:color="auto"/>
              <w:left w:val="single" w:sz="4" w:space="0" w:color="auto"/>
              <w:bottom w:val="single" w:sz="4" w:space="0" w:color="auto"/>
              <w:right w:val="single" w:sz="4" w:space="0" w:color="auto"/>
            </w:tcBorders>
            <w:shd w:val="clear" w:color="000000" w:fill="FBBCBF"/>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30,7</w:t>
            </w:r>
          </w:p>
        </w:tc>
        <w:tc>
          <w:tcPr>
            <w:tcW w:w="276" w:type="pct"/>
            <w:tcBorders>
              <w:top w:val="single" w:sz="4" w:space="0" w:color="auto"/>
              <w:left w:val="single" w:sz="4" w:space="0" w:color="auto"/>
              <w:bottom w:val="single" w:sz="4" w:space="0" w:color="auto"/>
              <w:right w:val="single" w:sz="4" w:space="0" w:color="auto"/>
            </w:tcBorders>
            <w:shd w:val="clear" w:color="000000" w:fill="FBBEC1"/>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30,6</w:t>
            </w:r>
          </w:p>
        </w:tc>
        <w:tc>
          <w:tcPr>
            <w:tcW w:w="276" w:type="pct"/>
            <w:tcBorders>
              <w:top w:val="single" w:sz="4" w:space="0" w:color="auto"/>
              <w:left w:val="single" w:sz="4" w:space="0" w:color="auto"/>
              <w:bottom w:val="single" w:sz="4" w:space="0" w:color="auto"/>
              <w:right w:val="single" w:sz="4" w:space="0" w:color="auto"/>
            </w:tcBorders>
            <w:shd w:val="clear" w:color="000000" w:fill="FBBFC2"/>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30,6</w:t>
            </w:r>
          </w:p>
        </w:tc>
        <w:tc>
          <w:tcPr>
            <w:tcW w:w="276" w:type="pct"/>
            <w:tcBorders>
              <w:top w:val="single" w:sz="4" w:space="0" w:color="auto"/>
              <w:left w:val="single" w:sz="4" w:space="0" w:color="auto"/>
              <w:bottom w:val="single" w:sz="4" w:space="0" w:color="auto"/>
              <w:right w:val="single" w:sz="4" w:space="0" w:color="auto"/>
            </w:tcBorders>
            <w:shd w:val="clear" w:color="000000" w:fill="FBB5B7"/>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30,7</w:t>
            </w:r>
          </w:p>
        </w:tc>
        <w:tc>
          <w:tcPr>
            <w:tcW w:w="276" w:type="pct"/>
            <w:tcBorders>
              <w:top w:val="single" w:sz="4" w:space="0" w:color="auto"/>
              <w:left w:val="single" w:sz="4" w:space="0" w:color="auto"/>
              <w:bottom w:val="single" w:sz="4" w:space="0" w:color="auto"/>
              <w:right w:val="single" w:sz="4" w:space="0" w:color="auto"/>
            </w:tcBorders>
            <w:shd w:val="clear" w:color="000000" w:fill="FAA1A3"/>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31,0</w:t>
            </w:r>
          </w:p>
        </w:tc>
        <w:tc>
          <w:tcPr>
            <w:tcW w:w="276" w:type="pct"/>
            <w:tcBorders>
              <w:top w:val="single" w:sz="4" w:space="0" w:color="auto"/>
              <w:left w:val="single" w:sz="4" w:space="0" w:color="auto"/>
              <w:bottom w:val="single" w:sz="4" w:space="0" w:color="auto"/>
              <w:right w:val="single" w:sz="4" w:space="0" w:color="auto"/>
            </w:tcBorders>
            <w:shd w:val="clear" w:color="000000" w:fill="FAB2B5"/>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30,8</w:t>
            </w:r>
          </w:p>
        </w:tc>
      </w:tr>
      <w:tr w:rsidR="00097C87" w:rsidRPr="00A30B52" w:rsidTr="00256A66">
        <w:trPr>
          <w:trHeight w:val="264"/>
        </w:trPr>
        <w:tc>
          <w:tcPr>
            <w:tcW w:w="555" w:type="pct"/>
            <w:vMerge/>
            <w:tcBorders>
              <w:top w:val="nil"/>
              <w:left w:val="single" w:sz="4" w:space="0" w:color="auto"/>
              <w:bottom w:val="single" w:sz="4" w:space="0" w:color="auto"/>
              <w:right w:val="single" w:sz="4" w:space="0" w:color="auto"/>
            </w:tcBorders>
            <w:vAlign w:val="center"/>
            <w:hideMark/>
          </w:tcPr>
          <w:p w:rsidR="00097C87" w:rsidRPr="00A30B52" w:rsidRDefault="00097C87" w:rsidP="00256A66">
            <w:pPr>
              <w:rPr>
                <w:rFonts w:ascii="Calibri" w:hAnsi="Calibri" w:cs="Calibri"/>
                <w:color w:val="000000"/>
                <w:sz w:val="18"/>
                <w:szCs w:val="18"/>
              </w:rPr>
            </w:pPr>
          </w:p>
        </w:tc>
        <w:tc>
          <w:tcPr>
            <w:tcW w:w="1408" w:type="pct"/>
            <w:tcBorders>
              <w:top w:val="nil"/>
              <w:left w:val="nil"/>
              <w:bottom w:val="single" w:sz="4" w:space="0" w:color="auto"/>
              <w:right w:val="single" w:sz="4" w:space="0" w:color="auto"/>
            </w:tcBorders>
            <w:shd w:val="clear" w:color="auto" w:fill="auto"/>
            <w:noWrap/>
            <w:vAlign w:val="bottom"/>
            <w:hideMark/>
          </w:tcPr>
          <w:p w:rsidR="00097C87" w:rsidRPr="00A30B52" w:rsidRDefault="00097C87" w:rsidP="00256A66">
            <w:pPr>
              <w:rPr>
                <w:rFonts w:ascii="Calibri" w:hAnsi="Calibri" w:cs="Calibri"/>
                <w:color w:val="000000"/>
                <w:sz w:val="18"/>
                <w:szCs w:val="18"/>
              </w:rPr>
            </w:pPr>
            <w:r w:rsidRPr="00A30B52">
              <w:rPr>
                <w:rFonts w:ascii="Calibri" w:hAnsi="Calibri" w:cs="Calibri"/>
                <w:color w:val="000000"/>
                <w:sz w:val="18"/>
                <w:szCs w:val="18"/>
              </w:rPr>
              <w:t xml:space="preserve">Průměrný věk matky </w:t>
            </w:r>
            <w:r w:rsidRPr="00A30B52">
              <w:rPr>
                <w:rFonts w:ascii="Calibri" w:hAnsi="Calibri" w:cs="Calibri"/>
                <w:color w:val="000000"/>
                <w:sz w:val="18"/>
                <w:szCs w:val="18"/>
              </w:rPr>
              <w:br/>
              <w:t>při narození 1. dítěte</w:t>
            </w:r>
          </w:p>
        </w:tc>
        <w:tc>
          <w:tcPr>
            <w:tcW w:w="276" w:type="pct"/>
            <w:tcBorders>
              <w:top w:val="single" w:sz="4" w:space="0" w:color="auto"/>
              <w:left w:val="single" w:sz="4" w:space="0" w:color="auto"/>
              <w:bottom w:val="single" w:sz="4" w:space="0" w:color="auto"/>
              <w:right w:val="single" w:sz="4" w:space="0" w:color="auto"/>
            </w:tcBorders>
            <w:shd w:val="clear" w:color="000000" w:fill="5A8AC6"/>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28,4</w:t>
            </w:r>
          </w:p>
        </w:tc>
        <w:tc>
          <w:tcPr>
            <w:tcW w:w="276" w:type="pct"/>
            <w:tcBorders>
              <w:top w:val="single" w:sz="4" w:space="0" w:color="auto"/>
              <w:left w:val="single" w:sz="4" w:space="0" w:color="auto"/>
              <w:bottom w:val="single" w:sz="4" w:space="0" w:color="auto"/>
              <w:right w:val="single" w:sz="4" w:space="0" w:color="auto"/>
            </w:tcBorders>
            <w:shd w:val="clear" w:color="000000" w:fill="5F8EC8"/>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28,4</w:t>
            </w:r>
          </w:p>
        </w:tc>
        <w:tc>
          <w:tcPr>
            <w:tcW w:w="276" w:type="pct"/>
            <w:tcBorders>
              <w:top w:val="single" w:sz="4" w:space="0" w:color="auto"/>
              <w:left w:val="single" w:sz="4" w:space="0" w:color="auto"/>
              <w:bottom w:val="single" w:sz="4" w:space="0" w:color="auto"/>
              <w:right w:val="single" w:sz="4" w:space="0" w:color="auto"/>
            </w:tcBorders>
            <w:shd w:val="clear" w:color="000000" w:fill="628FC8"/>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28,4</w:t>
            </w:r>
          </w:p>
        </w:tc>
        <w:tc>
          <w:tcPr>
            <w:tcW w:w="276" w:type="pct"/>
            <w:tcBorders>
              <w:top w:val="single" w:sz="4" w:space="0" w:color="auto"/>
              <w:left w:val="single" w:sz="4" w:space="0" w:color="auto"/>
              <w:bottom w:val="single" w:sz="4" w:space="0" w:color="auto"/>
              <w:right w:val="single" w:sz="4" w:space="0" w:color="auto"/>
            </w:tcBorders>
            <w:shd w:val="clear" w:color="000000" w:fill="769ED0"/>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28,6</w:t>
            </w:r>
          </w:p>
        </w:tc>
        <w:tc>
          <w:tcPr>
            <w:tcW w:w="276" w:type="pct"/>
            <w:tcBorders>
              <w:top w:val="single" w:sz="4" w:space="0" w:color="auto"/>
              <w:left w:val="single" w:sz="4" w:space="0" w:color="auto"/>
              <w:bottom w:val="single" w:sz="4" w:space="0" w:color="auto"/>
              <w:right w:val="single" w:sz="4" w:space="0" w:color="auto"/>
            </w:tcBorders>
            <w:shd w:val="clear" w:color="000000" w:fill="769ED0"/>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28,6</w:t>
            </w:r>
          </w:p>
        </w:tc>
        <w:tc>
          <w:tcPr>
            <w:tcW w:w="276" w:type="pct"/>
            <w:tcBorders>
              <w:top w:val="single" w:sz="4" w:space="0" w:color="auto"/>
              <w:left w:val="single" w:sz="4" w:space="0" w:color="auto"/>
              <w:bottom w:val="single" w:sz="4" w:space="0" w:color="auto"/>
              <w:right w:val="single" w:sz="4" w:space="0" w:color="auto"/>
            </w:tcBorders>
            <w:shd w:val="clear" w:color="000000" w:fill="8FAFD8"/>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28,9</w:t>
            </w:r>
          </w:p>
        </w:tc>
        <w:tc>
          <w:tcPr>
            <w:tcW w:w="276" w:type="pct"/>
            <w:tcBorders>
              <w:top w:val="single" w:sz="4" w:space="0" w:color="auto"/>
              <w:left w:val="single" w:sz="4" w:space="0" w:color="auto"/>
              <w:bottom w:val="single" w:sz="4" w:space="0" w:color="auto"/>
              <w:right w:val="single" w:sz="4" w:space="0" w:color="auto"/>
            </w:tcBorders>
            <w:shd w:val="clear" w:color="000000" w:fill="88AAD6"/>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28,8</w:t>
            </w:r>
          </w:p>
        </w:tc>
        <w:tc>
          <w:tcPr>
            <w:tcW w:w="276" w:type="pct"/>
            <w:tcBorders>
              <w:top w:val="single" w:sz="4" w:space="0" w:color="auto"/>
              <w:left w:val="single" w:sz="4" w:space="0" w:color="auto"/>
              <w:bottom w:val="single" w:sz="4" w:space="0" w:color="auto"/>
              <w:right w:val="single" w:sz="4" w:space="0" w:color="auto"/>
            </w:tcBorders>
            <w:shd w:val="clear" w:color="000000" w:fill="93B2DA"/>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28,9</w:t>
            </w:r>
          </w:p>
        </w:tc>
        <w:tc>
          <w:tcPr>
            <w:tcW w:w="276" w:type="pct"/>
            <w:tcBorders>
              <w:top w:val="single" w:sz="4" w:space="0" w:color="auto"/>
              <w:left w:val="single" w:sz="4" w:space="0" w:color="auto"/>
              <w:bottom w:val="single" w:sz="4" w:space="0" w:color="auto"/>
              <w:right w:val="single" w:sz="4" w:space="0" w:color="auto"/>
            </w:tcBorders>
            <w:shd w:val="clear" w:color="000000" w:fill="A7C0E1"/>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29,1</w:t>
            </w:r>
          </w:p>
        </w:tc>
        <w:tc>
          <w:tcPr>
            <w:tcW w:w="276" w:type="pct"/>
            <w:tcBorders>
              <w:top w:val="single" w:sz="4" w:space="0" w:color="auto"/>
              <w:left w:val="single" w:sz="4" w:space="0" w:color="auto"/>
              <w:bottom w:val="single" w:sz="4" w:space="0" w:color="auto"/>
              <w:right w:val="single" w:sz="4" w:space="0" w:color="auto"/>
            </w:tcBorders>
            <w:shd w:val="clear" w:color="000000" w:fill="AEC5E3"/>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29,2</w:t>
            </w:r>
          </w:p>
        </w:tc>
        <w:tc>
          <w:tcPr>
            <w:tcW w:w="276" w:type="pct"/>
            <w:tcBorders>
              <w:top w:val="single" w:sz="4" w:space="0" w:color="auto"/>
              <w:left w:val="single" w:sz="4" w:space="0" w:color="auto"/>
              <w:bottom w:val="single" w:sz="4" w:space="0" w:color="auto"/>
              <w:right w:val="single" w:sz="4" w:space="0" w:color="auto"/>
            </w:tcBorders>
            <w:shd w:val="clear" w:color="000000" w:fill="ADC4E3"/>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29,2</w:t>
            </w:r>
          </w:p>
        </w:tc>
      </w:tr>
      <w:tr w:rsidR="00097C87" w:rsidRPr="00A30B52" w:rsidTr="00256A66">
        <w:trPr>
          <w:trHeight w:val="264"/>
        </w:trPr>
        <w:tc>
          <w:tcPr>
            <w:tcW w:w="55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97C87" w:rsidRPr="00A30B52" w:rsidRDefault="00097C87" w:rsidP="00256A66">
            <w:pPr>
              <w:jc w:val="center"/>
              <w:rPr>
                <w:rFonts w:ascii="Calibri" w:hAnsi="Calibri" w:cs="Calibri"/>
                <w:color w:val="000000"/>
                <w:sz w:val="18"/>
                <w:szCs w:val="18"/>
              </w:rPr>
            </w:pPr>
            <w:r w:rsidRPr="00A30B52">
              <w:rPr>
                <w:rFonts w:ascii="Calibri" w:hAnsi="Calibri" w:cs="Calibri"/>
                <w:color w:val="000000"/>
                <w:sz w:val="18"/>
                <w:szCs w:val="18"/>
              </w:rPr>
              <w:t>Česká republika</w:t>
            </w:r>
          </w:p>
        </w:tc>
        <w:tc>
          <w:tcPr>
            <w:tcW w:w="1408" w:type="pct"/>
            <w:tcBorders>
              <w:top w:val="nil"/>
              <w:left w:val="nil"/>
              <w:bottom w:val="single" w:sz="4" w:space="0" w:color="auto"/>
              <w:right w:val="single" w:sz="4" w:space="0" w:color="auto"/>
            </w:tcBorders>
            <w:shd w:val="clear" w:color="auto" w:fill="auto"/>
            <w:noWrap/>
            <w:vAlign w:val="bottom"/>
            <w:hideMark/>
          </w:tcPr>
          <w:p w:rsidR="00097C87" w:rsidRPr="00A30B52" w:rsidRDefault="00097C87" w:rsidP="00256A66">
            <w:pPr>
              <w:rPr>
                <w:rFonts w:ascii="Calibri" w:hAnsi="Calibri" w:cs="Calibri"/>
                <w:color w:val="000000"/>
                <w:sz w:val="18"/>
                <w:szCs w:val="18"/>
              </w:rPr>
            </w:pPr>
            <w:r w:rsidRPr="00A30B52">
              <w:rPr>
                <w:rFonts w:ascii="Calibri" w:hAnsi="Calibri" w:cs="Calibri"/>
                <w:color w:val="000000"/>
                <w:sz w:val="18"/>
                <w:szCs w:val="18"/>
              </w:rPr>
              <w:t>Průměrný věk matky při narození</w:t>
            </w:r>
          </w:p>
        </w:tc>
        <w:tc>
          <w:tcPr>
            <w:tcW w:w="276" w:type="pct"/>
            <w:tcBorders>
              <w:top w:val="single" w:sz="4" w:space="0" w:color="auto"/>
              <w:left w:val="single" w:sz="4" w:space="0" w:color="auto"/>
              <w:bottom w:val="single" w:sz="4" w:space="0" w:color="auto"/>
              <w:right w:val="single" w:sz="4" w:space="0" w:color="auto"/>
            </w:tcBorders>
            <w:shd w:val="clear" w:color="000000" w:fill="F7F9FD"/>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29,9</w:t>
            </w:r>
          </w:p>
        </w:tc>
        <w:tc>
          <w:tcPr>
            <w:tcW w:w="276" w:type="pct"/>
            <w:tcBorders>
              <w:top w:val="single" w:sz="4" w:space="0" w:color="auto"/>
              <w:left w:val="single" w:sz="4" w:space="0" w:color="auto"/>
              <w:bottom w:val="single" w:sz="4" w:space="0" w:color="auto"/>
              <w:right w:val="single" w:sz="4" w:space="0" w:color="auto"/>
            </w:tcBorders>
            <w:shd w:val="clear" w:color="000000" w:fill="FCF9FC"/>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29,9</w:t>
            </w:r>
          </w:p>
        </w:tc>
        <w:tc>
          <w:tcPr>
            <w:tcW w:w="276" w:type="pct"/>
            <w:tcBorders>
              <w:top w:val="single" w:sz="4" w:space="0" w:color="auto"/>
              <w:left w:val="single" w:sz="4" w:space="0" w:color="auto"/>
              <w:bottom w:val="single" w:sz="4" w:space="0" w:color="auto"/>
              <w:right w:val="single" w:sz="4" w:space="0" w:color="auto"/>
            </w:tcBorders>
            <w:shd w:val="clear" w:color="000000" w:fill="FCF5F8"/>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30,0</w:t>
            </w:r>
          </w:p>
        </w:tc>
        <w:tc>
          <w:tcPr>
            <w:tcW w:w="276" w:type="pct"/>
            <w:tcBorders>
              <w:top w:val="single" w:sz="4" w:space="0" w:color="auto"/>
              <w:left w:val="single" w:sz="4" w:space="0" w:color="auto"/>
              <w:bottom w:val="single" w:sz="4" w:space="0" w:color="auto"/>
              <w:right w:val="single" w:sz="4" w:space="0" w:color="auto"/>
            </w:tcBorders>
            <w:shd w:val="clear" w:color="000000" w:fill="FCF5F8"/>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30,0</w:t>
            </w:r>
          </w:p>
        </w:tc>
        <w:tc>
          <w:tcPr>
            <w:tcW w:w="276" w:type="pct"/>
            <w:tcBorders>
              <w:top w:val="single" w:sz="4" w:space="0" w:color="auto"/>
              <w:left w:val="single" w:sz="4" w:space="0" w:color="auto"/>
              <w:bottom w:val="single" w:sz="4" w:space="0" w:color="auto"/>
              <w:right w:val="single" w:sz="4" w:space="0" w:color="auto"/>
            </w:tcBorders>
            <w:shd w:val="clear" w:color="000000" w:fill="FCF2F5"/>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30,0</w:t>
            </w:r>
          </w:p>
        </w:tc>
        <w:tc>
          <w:tcPr>
            <w:tcW w:w="276" w:type="pct"/>
            <w:tcBorders>
              <w:top w:val="single" w:sz="4" w:space="0" w:color="auto"/>
              <w:left w:val="single" w:sz="4" w:space="0" w:color="auto"/>
              <w:bottom w:val="single" w:sz="4" w:space="0" w:color="auto"/>
              <w:right w:val="single" w:sz="4" w:space="0" w:color="auto"/>
            </w:tcBorders>
            <w:shd w:val="clear" w:color="000000" w:fill="FCEBED"/>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30,1</w:t>
            </w:r>
          </w:p>
        </w:tc>
        <w:tc>
          <w:tcPr>
            <w:tcW w:w="276" w:type="pct"/>
            <w:tcBorders>
              <w:top w:val="single" w:sz="4" w:space="0" w:color="auto"/>
              <w:left w:val="single" w:sz="4" w:space="0" w:color="auto"/>
              <w:bottom w:val="single" w:sz="4" w:space="0" w:color="auto"/>
              <w:right w:val="single" w:sz="4" w:space="0" w:color="auto"/>
            </w:tcBorders>
            <w:shd w:val="clear" w:color="000000" w:fill="FCE7EA"/>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30,2</w:t>
            </w:r>
          </w:p>
        </w:tc>
        <w:tc>
          <w:tcPr>
            <w:tcW w:w="276" w:type="pct"/>
            <w:tcBorders>
              <w:top w:val="single" w:sz="4" w:space="0" w:color="auto"/>
              <w:left w:val="single" w:sz="4" w:space="0" w:color="auto"/>
              <w:bottom w:val="single" w:sz="4" w:space="0" w:color="auto"/>
              <w:right w:val="single" w:sz="4" w:space="0" w:color="auto"/>
            </w:tcBorders>
            <w:shd w:val="clear" w:color="000000" w:fill="FCE3E6"/>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30,2</w:t>
            </w:r>
          </w:p>
        </w:tc>
        <w:tc>
          <w:tcPr>
            <w:tcW w:w="276" w:type="pct"/>
            <w:tcBorders>
              <w:top w:val="single" w:sz="4" w:space="0" w:color="auto"/>
              <w:left w:val="single" w:sz="4" w:space="0" w:color="auto"/>
              <w:bottom w:val="single" w:sz="4" w:space="0" w:color="auto"/>
              <w:right w:val="single" w:sz="4" w:space="0" w:color="auto"/>
            </w:tcBorders>
            <w:shd w:val="clear" w:color="000000" w:fill="FBD0D2"/>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30,4</w:t>
            </w:r>
          </w:p>
        </w:tc>
        <w:tc>
          <w:tcPr>
            <w:tcW w:w="276" w:type="pct"/>
            <w:tcBorders>
              <w:top w:val="single" w:sz="4" w:space="0" w:color="auto"/>
              <w:left w:val="single" w:sz="4" w:space="0" w:color="auto"/>
              <w:bottom w:val="single" w:sz="4" w:space="0" w:color="auto"/>
              <w:right w:val="single" w:sz="4" w:space="0" w:color="auto"/>
            </w:tcBorders>
            <w:shd w:val="clear" w:color="000000" w:fill="FBCFD2"/>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30,4</w:t>
            </w:r>
          </w:p>
        </w:tc>
        <w:tc>
          <w:tcPr>
            <w:tcW w:w="276" w:type="pct"/>
            <w:tcBorders>
              <w:top w:val="single" w:sz="4" w:space="0" w:color="auto"/>
              <w:left w:val="single" w:sz="4" w:space="0" w:color="auto"/>
              <w:bottom w:val="single" w:sz="4" w:space="0" w:color="auto"/>
              <w:right w:val="single" w:sz="4" w:space="0" w:color="auto"/>
            </w:tcBorders>
            <w:shd w:val="clear" w:color="000000" w:fill="FA9294"/>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31,1</w:t>
            </w:r>
          </w:p>
        </w:tc>
      </w:tr>
      <w:tr w:rsidR="00097C87" w:rsidRPr="00A30B52" w:rsidTr="00256A66">
        <w:trPr>
          <w:trHeight w:val="264"/>
        </w:trPr>
        <w:tc>
          <w:tcPr>
            <w:tcW w:w="555" w:type="pct"/>
            <w:vMerge/>
            <w:tcBorders>
              <w:top w:val="nil"/>
              <w:left w:val="single" w:sz="4" w:space="0" w:color="auto"/>
              <w:bottom w:val="single" w:sz="4" w:space="0" w:color="auto"/>
              <w:right w:val="single" w:sz="4" w:space="0" w:color="auto"/>
            </w:tcBorders>
            <w:vAlign w:val="center"/>
            <w:hideMark/>
          </w:tcPr>
          <w:p w:rsidR="00097C87" w:rsidRPr="00A30B52" w:rsidRDefault="00097C87" w:rsidP="00256A66">
            <w:pPr>
              <w:rPr>
                <w:rFonts w:ascii="Calibri" w:hAnsi="Calibri" w:cs="Calibri"/>
                <w:color w:val="000000"/>
                <w:sz w:val="18"/>
                <w:szCs w:val="18"/>
              </w:rPr>
            </w:pPr>
          </w:p>
        </w:tc>
        <w:tc>
          <w:tcPr>
            <w:tcW w:w="1408" w:type="pct"/>
            <w:tcBorders>
              <w:top w:val="nil"/>
              <w:left w:val="nil"/>
              <w:bottom w:val="single" w:sz="4" w:space="0" w:color="auto"/>
              <w:right w:val="single" w:sz="4" w:space="0" w:color="auto"/>
            </w:tcBorders>
            <w:shd w:val="clear" w:color="auto" w:fill="auto"/>
            <w:noWrap/>
            <w:vAlign w:val="bottom"/>
            <w:hideMark/>
          </w:tcPr>
          <w:p w:rsidR="00097C87" w:rsidRPr="00A30B52" w:rsidRDefault="00097C87" w:rsidP="00256A66">
            <w:pPr>
              <w:rPr>
                <w:rFonts w:ascii="Calibri" w:hAnsi="Calibri" w:cs="Calibri"/>
                <w:color w:val="000000"/>
                <w:sz w:val="18"/>
                <w:szCs w:val="18"/>
              </w:rPr>
            </w:pPr>
            <w:r w:rsidRPr="00A30B52">
              <w:rPr>
                <w:rFonts w:ascii="Calibri" w:hAnsi="Calibri" w:cs="Calibri"/>
                <w:color w:val="000000"/>
                <w:sz w:val="18"/>
                <w:szCs w:val="18"/>
              </w:rPr>
              <w:t xml:space="preserve">Průměrný věk matky </w:t>
            </w:r>
            <w:r w:rsidRPr="00A30B52">
              <w:rPr>
                <w:rFonts w:ascii="Calibri" w:hAnsi="Calibri" w:cs="Calibri"/>
                <w:color w:val="000000"/>
                <w:sz w:val="18"/>
                <w:szCs w:val="18"/>
              </w:rPr>
              <w:br/>
              <w:t>při narození 1. dítěte</w:t>
            </w:r>
          </w:p>
        </w:tc>
        <w:tc>
          <w:tcPr>
            <w:tcW w:w="276" w:type="pct"/>
            <w:tcBorders>
              <w:top w:val="single" w:sz="4" w:space="0" w:color="auto"/>
              <w:left w:val="single" w:sz="4" w:space="0" w:color="auto"/>
              <w:bottom w:val="single" w:sz="4" w:space="0" w:color="auto"/>
              <w:right w:val="single" w:sz="4" w:space="0" w:color="auto"/>
            </w:tcBorders>
            <w:shd w:val="clear" w:color="000000" w:fill="79A0D1"/>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28,7</w:t>
            </w:r>
          </w:p>
        </w:tc>
        <w:tc>
          <w:tcPr>
            <w:tcW w:w="276" w:type="pct"/>
            <w:tcBorders>
              <w:top w:val="single" w:sz="4" w:space="0" w:color="auto"/>
              <w:left w:val="single" w:sz="4" w:space="0" w:color="auto"/>
              <w:bottom w:val="single" w:sz="4" w:space="0" w:color="auto"/>
              <w:right w:val="single" w:sz="4" w:space="0" w:color="auto"/>
            </w:tcBorders>
            <w:shd w:val="clear" w:color="000000" w:fill="86A8D5"/>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28,8</w:t>
            </w:r>
          </w:p>
        </w:tc>
        <w:tc>
          <w:tcPr>
            <w:tcW w:w="276" w:type="pct"/>
            <w:tcBorders>
              <w:top w:val="single" w:sz="4" w:space="0" w:color="auto"/>
              <w:left w:val="single" w:sz="4" w:space="0" w:color="auto"/>
              <w:bottom w:val="single" w:sz="4" w:space="0" w:color="auto"/>
              <w:right w:val="single" w:sz="4" w:space="0" w:color="auto"/>
            </w:tcBorders>
            <w:shd w:val="clear" w:color="000000" w:fill="8EAED8"/>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28,9</w:t>
            </w:r>
          </w:p>
        </w:tc>
        <w:tc>
          <w:tcPr>
            <w:tcW w:w="276" w:type="pct"/>
            <w:tcBorders>
              <w:top w:val="single" w:sz="4" w:space="0" w:color="auto"/>
              <w:left w:val="single" w:sz="4" w:space="0" w:color="auto"/>
              <w:bottom w:val="single" w:sz="4" w:space="0" w:color="auto"/>
              <w:right w:val="single" w:sz="4" w:space="0" w:color="auto"/>
            </w:tcBorders>
            <w:shd w:val="clear" w:color="000000" w:fill="90B0D9"/>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28,9</w:t>
            </w:r>
          </w:p>
        </w:tc>
        <w:tc>
          <w:tcPr>
            <w:tcW w:w="276" w:type="pct"/>
            <w:tcBorders>
              <w:top w:val="single" w:sz="4" w:space="0" w:color="auto"/>
              <w:left w:val="single" w:sz="4" w:space="0" w:color="auto"/>
              <w:bottom w:val="single" w:sz="4" w:space="0" w:color="auto"/>
              <w:right w:val="single" w:sz="4" w:space="0" w:color="auto"/>
            </w:tcBorders>
            <w:shd w:val="clear" w:color="000000" w:fill="96B4DB"/>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28,9</w:t>
            </w:r>
          </w:p>
        </w:tc>
        <w:tc>
          <w:tcPr>
            <w:tcW w:w="276" w:type="pct"/>
            <w:tcBorders>
              <w:top w:val="single" w:sz="4" w:space="0" w:color="auto"/>
              <w:left w:val="single" w:sz="4" w:space="0" w:color="auto"/>
              <w:bottom w:val="single" w:sz="4" w:space="0" w:color="auto"/>
              <w:right w:val="single" w:sz="4" w:space="0" w:color="auto"/>
            </w:tcBorders>
            <w:shd w:val="clear" w:color="000000" w:fill="A7C0E1"/>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29,1</w:t>
            </w:r>
          </w:p>
        </w:tc>
        <w:tc>
          <w:tcPr>
            <w:tcW w:w="276" w:type="pct"/>
            <w:tcBorders>
              <w:top w:val="single" w:sz="4" w:space="0" w:color="auto"/>
              <w:left w:val="single" w:sz="4" w:space="0" w:color="auto"/>
              <w:bottom w:val="single" w:sz="4" w:space="0" w:color="auto"/>
              <w:right w:val="single" w:sz="4" w:space="0" w:color="auto"/>
            </w:tcBorders>
            <w:shd w:val="clear" w:color="000000" w:fill="B3C9E5"/>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29,2</w:t>
            </w:r>
          </w:p>
        </w:tc>
        <w:tc>
          <w:tcPr>
            <w:tcW w:w="276" w:type="pct"/>
            <w:tcBorders>
              <w:top w:val="single" w:sz="4" w:space="0" w:color="auto"/>
              <w:left w:val="single" w:sz="4" w:space="0" w:color="auto"/>
              <w:bottom w:val="single" w:sz="4" w:space="0" w:color="auto"/>
              <w:right w:val="single" w:sz="4" w:space="0" w:color="auto"/>
            </w:tcBorders>
            <w:shd w:val="clear" w:color="000000" w:fill="BACEE8"/>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29,3</w:t>
            </w:r>
          </w:p>
        </w:tc>
        <w:tc>
          <w:tcPr>
            <w:tcW w:w="276" w:type="pct"/>
            <w:tcBorders>
              <w:top w:val="single" w:sz="4" w:space="0" w:color="auto"/>
              <w:left w:val="single" w:sz="4" w:space="0" w:color="auto"/>
              <w:bottom w:val="single" w:sz="4" w:space="0" w:color="auto"/>
              <w:right w:val="single" w:sz="4" w:space="0" w:color="auto"/>
            </w:tcBorders>
            <w:shd w:val="clear" w:color="000000" w:fill="D3DFF0"/>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29,5</w:t>
            </w:r>
          </w:p>
        </w:tc>
        <w:tc>
          <w:tcPr>
            <w:tcW w:w="276" w:type="pct"/>
            <w:tcBorders>
              <w:top w:val="single" w:sz="4" w:space="0" w:color="auto"/>
              <w:left w:val="single" w:sz="4" w:space="0" w:color="auto"/>
              <w:bottom w:val="single" w:sz="4" w:space="0" w:color="auto"/>
              <w:right w:val="single" w:sz="4" w:space="0" w:color="auto"/>
            </w:tcBorders>
            <w:shd w:val="clear" w:color="000000" w:fill="D6E1F1"/>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29,5</w:t>
            </w:r>
          </w:p>
        </w:tc>
        <w:tc>
          <w:tcPr>
            <w:tcW w:w="276" w:type="pct"/>
            <w:tcBorders>
              <w:top w:val="single" w:sz="4" w:space="0" w:color="auto"/>
              <w:left w:val="single" w:sz="4" w:space="0" w:color="auto"/>
              <w:bottom w:val="single" w:sz="4" w:space="0" w:color="auto"/>
              <w:right w:val="single" w:sz="4" w:space="0" w:color="auto"/>
            </w:tcBorders>
            <w:shd w:val="clear" w:color="000000" w:fill="DBE5F3"/>
            <w:noWrap/>
            <w:vAlign w:val="center"/>
            <w:hideMark/>
          </w:tcPr>
          <w:p w:rsidR="00097C87" w:rsidRPr="00A30B52" w:rsidRDefault="00097C87" w:rsidP="00256A66">
            <w:pPr>
              <w:jc w:val="right"/>
              <w:rPr>
                <w:rFonts w:ascii="Calibri" w:hAnsi="Calibri" w:cs="Calibri"/>
                <w:color w:val="000000"/>
                <w:sz w:val="18"/>
                <w:szCs w:val="18"/>
              </w:rPr>
            </w:pPr>
            <w:r w:rsidRPr="00A30B52">
              <w:rPr>
                <w:rFonts w:ascii="Calibri" w:hAnsi="Calibri" w:cs="Calibri"/>
                <w:color w:val="000000"/>
                <w:sz w:val="18"/>
                <w:szCs w:val="18"/>
              </w:rPr>
              <w:t>29,6</w:t>
            </w:r>
          </w:p>
        </w:tc>
      </w:tr>
    </w:tbl>
    <w:p w:rsidR="00097C87" w:rsidRPr="00AE1E58" w:rsidRDefault="00097C87" w:rsidP="00097C87">
      <w:pPr>
        <w:rPr>
          <w:rFonts w:ascii="Times New Roman" w:hAnsi="Times New Roman" w:cs="Times New Roman"/>
        </w:rPr>
      </w:pPr>
      <w:r w:rsidRPr="00AE1E58">
        <w:rPr>
          <w:rFonts w:ascii="Times New Roman" w:hAnsi="Times New Roman" w:cs="Times New Roman"/>
          <w:i/>
          <w:iCs/>
          <w:sz w:val="20"/>
          <w:szCs w:val="20"/>
        </w:rPr>
        <w:t xml:space="preserve">Zdroj: ČSÚ 2024, zpracovalo ACCENDO – Centrum pro vědu a </w:t>
      </w:r>
      <w:proofErr w:type="gramStart"/>
      <w:r w:rsidRPr="00AE1E58">
        <w:rPr>
          <w:rFonts w:ascii="Times New Roman" w:hAnsi="Times New Roman" w:cs="Times New Roman"/>
          <w:i/>
          <w:iCs/>
          <w:sz w:val="20"/>
          <w:szCs w:val="20"/>
        </w:rPr>
        <w:t xml:space="preserve">výzkum, </w:t>
      </w:r>
      <w:proofErr w:type="spellStart"/>
      <w:r w:rsidRPr="00AE1E58">
        <w:rPr>
          <w:rFonts w:ascii="Times New Roman" w:hAnsi="Times New Roman" w:cs="Times New Roman"/>
          <w:i/>
          <w:iCs/>
          <w:sz w:val="20"/>
          <w:szCs w:val="20"/>
        </w:rPr>
        <w:t>z.ú</w:t>
      </w:r>
      <w:proofErr w:type="spellEnd"/>
      <w:r w:rsidRPr="00AE1E58">
        <w:rPr>
          <w:rFonts w:ascii="Times New Roman" w:hAnsi="Times New Roman" w:cs="Times New Roman"/>
          <w:i/>
          <w:iCs/>
          <w:sz w:val="20"/>
          <w:szCs w:val="20"/>
        </w:rPr>
        <w:t>.</w:t>
      </w:r>
      <w:proofErr w:type="gramEnd"/>
    </w:p>
    <w:p w:rsidR="00583A07" w:rsidRPr="00D43196" w:rsidRDefault="00583A07" w:rsidP="00583A07">
      <w:pPr>
        <w:pStyle w:val="Nadpis3"/>
        <w:rPr>
          <w:rFonts w:ascii="Times New Roman" w:hAnsi="Times New Roman" w:cs="Times New Roman"/>
          <w:color w:val="auto"/>
          <w:sz w:val="24"/>
          <w:szCs w:val="24"/>
        </w:rPr>
      </w:pPr>
      <w:r w:rsidRPr="00D43196">
        <w:rPr>
          <w:rFonts w:ascii="Times New Roman" w:hAnsi="Times New Roman" w:cs="Times New Roman"/>
          <w:color w:val="auto"/>
          <w:sz w:val="24"/>
          <w:szCs w:val="24"/>
        </w:rPr>
        <w:t>Vývoj počtu cizinců</w:t>
      </w:r>
    </w:p>
    <w:p w:rsidR="00583A07" w:rsidRDefault="00583A07" w:rsidP="00583A07">
      <w:pPr>
        <w:spacing w:after="13" w:line="310" w:lineRule="auto"/>
        <w:ind w:left="-4" w:right="208" w:hanging="10"/>
        <w:jc w:val="both"/>
        <w:rPr>
          <w:rFonts w:ascii="Times New Roman" w:hAnsi="Times New Roman" w:cs="Times New Roman"/>
          <w:color w:val="181717"/>
          <w:sz w:val="24"/>
          <w:szCs w:val="24"/>
        </w:rPr>
      </w:pPr>
    </w:p>
    <w:p w:rsidR="00583A07" w:rsidRPr="00D43196" w:rsidRDefault="00583A07" w:rsidP="00583A07">
      <w:pPr>
        <w:spacing w:after="13"/>
        <w:ind w:left="-4" w:right="208" w:hanging="10"/>
        <w:rPr>
          <w:rFonts w:ascii="Times New Roman" w:hAnsi="Times New Roman" w:cs="Times New Roman"/>
          <w:color w:val="181717"/>
          <w:sz w:val="24"/>
          <w:szCs w:val="24"/>
        </w:rPr>
      </w:pPr>
      <w:r w:rsidRPr="00D43196">
        <w:rPr>
          <w:rFonts w:ascii="Times New Roman" w:hAnsi="Times New Roman" w:cs="Times New Roman"/>
          <w:color w:val="181717"/>
          <w:sz w:val="24"/>
          <w:szCs w:val="24"/>
        </w:rPr>
        <w:t>V souvislosti s válkou na Ukrajině došlo k významnému nárůstu ukrajinské menšiny, k  26.</w:t>
      </w:r>
      <w:r>
        <w:rPr>
          <w:rFonts w:ascii="Times New Roman" w:hAnsi="Times New Roman" w:cs="Times New Roman"/>
          <w:color w:val="181717"/>
          <w:sz w:val="24"/>
          <w:szCs w:val="24"/>
        </w:rPr>
        <w:t xml:space="preserve"> </w:t>
      </w:r>
      <w:r w:rsidRPr="00D43196">
        <w:rPr>
          <w:rFonts w:ascii="Times New Roman" w:hAnsi="Times New Roman" w:cs="Times New Roman"/>
          <w:color w:val="181717"/>
          <w:sz w:val="24"/>
          <w:szCs w:val="24"/>
        </w:rPr>
        <w:t>ledn</w:t>
      </w:r>
      <w:r>
        <w:rPr>
          <w:rFonts w:ascii="Times New Roman" w:hAnsi="Times New Roman" w:cs="Times New Roman"/>
          <w:color w:val="181717"/>
          <w:sz w:val="24"/>
          <w:szCs w:val="24"/>
        </w:rPr>
        <w:t>u</w:t>
      </w:r>
      <w:r w:rsidRPr="00D43196">
        <w:rPr>
          <w:rFonts w:ascii="Times New Roman" w:hAnsi="Times New Roman" w:cs="Times New Roman"/>
          <w:color w:val="181717"/>
          <w:sz w:val="24"/>
          <w:szCs w:val="24"/>
        </w:rPr>
        <w:t xml:space="preserve"> 2025 bylo v SO </w:t>
      </w:r>
      <w:r>
        <w:rPr>
          <w:rFonts w:ascii="Times New Roman" w:hAnsi="Times New Roman" w:cs="Times New Roman"/>
          <w:color w:val="181717"/>
          <w:sz w:val="24"/>
          <w:szCs w:val="24"/>
        </w:rPr>
        <w:t>O</w:t>
      </w:r>
      <w:r w:rsidRPr="00D43196">
        <w:rPr>
          <w:rFonts w:ascii="Times New Roman" w:hAnsi="Times New Roman" w:cs="Times New Roman"/>
          <w:color w:val="181717"/>
          <w:sz w:val="24"/>
          <w:szCs w:val="24"/>
        </w:rPr>
        <w:t xml:space="preserve">RP Olomouc 4 565 udělených pobytových oprávnění v souvislosti s válkou na Ukrajině, z toho v Olomouci 3 527. </w:t>
      </w:r>
    </w:p>
    <w:p w:rsidR="00583A07" w:rsidRPr="00FA0AC4" w:rsidRDefault="00583A07" w:rsidP="00583A07">
      <w:pPr>
        <w:pStyle w:val="Titulek"/>
        <w:jc w:val="left"/>
      </w:pPr>
      <w:r>
        <w:lastRenderedPageBreak/>
        <w:t>Graf</w:t>
      </w:r>
      <w:r w:rsidRPr="00FA0AC4">
        <w:t xml:space="preserve"> </w:t>
      </w:r>
      <w:r>
        <w:rPr>
          <w:noProof/>
        </w:rPr>
        <w:t>2</w:t>
      </w:r>
      <w:r w:rsidRPr="00FA0AC4">
        <w:t>: Počet osob, kterým bylo uděleno pobytové oprávnění v souvislosti s válkou na Ukrajině</w:t>
      </w:r>
    </w:p>
    <w:p w:rsidR="00583A07" w:rsidRPr="004A3035" w:rsidRDefault="00583A07" w:rsidP="00583A07">
      <w:pPr>
        <w:keepNext/>
        <w:rPr>
          <w:highlight w:val="yellow"/>
        </w:rPr>
      </w:pPr>
      <w:r>
        <w:rPr>
          <w:noProof/>
          <w:lang w:eastAsia="cs-CZ"/>
        </w:rPr>
        <w:drawing>
          <wp:inline distT="0" distB="0" distL="0" distR="0" wp14:anchorId="57BC9BE2" wp14:editId="79B51194">
            <wp:extent cx="5773420" cy="2280285"/>
            <wp:effectExtent l="0" t="0" r="0" b="571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3420" cy="2280285"/>
                    </a:xfrm>
                    <a:prstGeom prst="rect">
                      <a:avLst/>
                    </a:prstGeom>
                    <a:noFill/>
                  </pic:spPr>
                </pic:pic>
              </a:graphicData>
            </a:graphic>
          </wp:inline>
        </w:drawing>
      </w:r>
    </w:p>
    <w:p w:rsidR="00583A07" w:rsidRPr="00BF73D6" w:rsidRDefault="00583A07" w:rsidP="00583A07">
      <w:pPr>
        <w:spacing w:after="34"/>
        <w:rPr>
          <w:rFonts w:ascii="Times New Roman" w:hAnsi="Times New Roman" w:cs="Times New Roman"/>
          <w:i/>
          <w:color w:val="181717"/>
          <w:sz w:val="20"/>
        </w:rPr>
      </w:pPr>
      <w:r w:rsidRPr="00BF73D6">
        <w:rPr>
          <w:rFonts w:ascii="Times New Roman" w:hAnsi="Times New Roman" w:cs="Times New Roman"/>
          <w:i/>
          <w:color w:val="181717"/>
          <w:sz w:val="20"/>
        </w:rPr>
        <w:t>Zdroj: MVČR (2025), vlastní zpracování, 2025</w:t>
      </w:r>
      <w:r>
        <w:rPr>
          <w:rFonts w:ascii="Times New Roman" w:hAnsi="Times New Roman" w:cs="Times New Roman"/>
          <w:i/>
          <w:color w:val="181717"/>
          <w:sz w:val="20"/>
        </w:rPr>
        <w:t xml:space="preserve">. </w:t>
      </w:r>
      <w:r w:rsidRPr="00BF73D6">
        <w:rPr>
          <w:rFonts w:ascii="Times New Roman" w:hAnsi="Times New Roman" w:cs="Times New Roman"/>
          <w:i/>
          <w:color w:val="181717"/>
          <w:sz w:val="20"/>
        </w:rPr>
        <w:t>Pozn.: Nejedná se pouze o osoby se státní příslušností Ukrajiny</w:t>
      </w:r>
      <w:r>
        <w:rPr>
          <w:rFonts w:ascii="Times New Roman" w:hAnsi="Times New Roman" w:cs="Times New Roman"/>
          <w:i/>
          <w:color w:val="181717"/>
          <w:sz w:val="20"/>
        </w:rPr>
        <w:t>, z</w:t>
      </w:r>
      <w:r w:rsidRPr="00BF73D6">
        <w:rPr>
          <w:rFonts w:ascii="Times New Roman" w:hAnsi="Times New Roman" w:cs="Times New Roman"/>
          <w:i/>
          <w:iCs/>
          <w:sz w:val="20"/>
          <w:szCs w:val="20"/>
        </w:rPr>
        <w:t xml:space="preserve">pracovalo ACCENDO – Centrum pro vědu a </w:t>
      </w:r>
      <w:proofErr w:type="gramStart"/>
      <w:r w:rsidRPr="00BF73D6">
        <w:rPr>
          <w:rFonts w:ascii="Times New Roman" w:hAnsi="Times New Roman" w:cs="Times New Roman"/>
          <w:i/>
          <w:iCs/>
          <w:sz w:val="20"/>
          <w:szCs w:val="20"/>
        </w:rPr>
        <w:t xml:space="preserve">výzkum, </w:t>
      </w:r>
      <w:proofErr w:type="spellStart"/>
      <w:r w:rsidRPr="00BF73D6">
        <w:rPr>
          <w:rFonts w:ascii="Times New Roman" w:hAnsi="Times New Roman" w:cs="Times New Roman"/>
          <w:i/>
          <w:iCs/>
          <w:sz w:val="20"/>
          <w:szCs w:val="20"/>
        </w:rPr>
        <w:t>z.ú</w:t>
      </w:r>
      <w:proofErr w:type="spellEnd"/>
      <w:r w:rsidRPr="00BF73D6">
        <w:rPr>
          <w:rFonts w:ascii="Times New Roman" w:hAnsi="Times New Roman" w:cs="Times New Roman"/>
          <w:i/>
          <w:iCs/>
          <w:sz w:val="20"/>
          <w:szCs w:val="20"/>
        </w:rPr>
        <w:t>.</w:t>
      </w:r>
      <w:proofErr w:type="gramEnd"/>
    </w:p>
    <w:p w:rsidR="00583A07" w:rsidRDefault="00583A07" w:rsidP="00583A07">
      <w:pPr>
        <w:spacing w:after="13" w:line="310" w:lineRule="auto"/>
        <w:ind w:left="-4" w:right="208" w:hanging="10"/>
        <w:jc w:val="both"/>
        <w:rPr>
          <w:color w:val="181717"/>
        </w:rPr>
      </w:pPr>
    </w:p>
    <w:p w:rsidR="00583A07" w:rsidRPr="00BF73D6" w:rsidRDefault="00583A07" w:rsidP="00583A07">
      <w:pPr>
        <w:spacing w:after="13"/>
        <w:ind w:left="-4" w:right="208" w:hanging="10"/>
        <w:rPr>
          <w:rFonts w:ascii="Times New Roman" w:hAnsi="Times New Roman" w:cs="Times New Roman"/>
          <w:color w:val="181717"/>
          <w:sz w:val="24"/>
          <w:szCs w:val="24"/>
        </w:rPr>
      </w:pPr>
      <w:r w:rsidRPr="00BF73D6">
        <w:rPr>
          <w:rFonts w:ascii="Times New Roman" w:hAnsi="Times New Roman" w:cs="Times New Roman"/>
          <w:color w:val="181717"/>
          <w:sz w:val="24"/>
          <w:szCs w:val="24"/>
        </w:rPr>
        <w:t>Pobytové oprávnění v souvislosti s válkou na Ukrajině bylo vícekrát uděleno ženám, než mužům. Ve SO ORP Olomouc to k 26. 1. 2025 je 2 674 žen a 1 891 mužů. Graf níže znázorňuje podrobnější rozložení také dle věkových skupin, kde je vidět, že ve věkových kategoriích 7–18 let je zde více mužů, ve starších věkových kategoriích již výrazně převažují ženy.</w:t>
      </w:r>
    </w:p>
    <w:p w:rsidR="00583A07" w:rsidRPr="00BC27BE" w:rsidRDefault="00583A07" w:rsidP="00583A07">
      <w:pPr>
        <w:spacing w:after="13" w:line="310" w:lineRule="auto"/>
        <w:ind w:left="-4" w:right="208" w:hanging="10"/>
        <w:jc w:val="both"/>
        <w:rPr>
          <w:i/>
          <w:color w:val="181717"/>
          <w:sz w:val="20"/>
        </w:rPr>
      </w:pPr>
    </w:p>
    <w:p w:rsidR="00583A07" w:rsidRPr="00BC27BE" w:rsidRDefault="00583A07" w:rsidP="00583A07">
      <w:pPr>
        <w:pStyle w:val="Titulek"/>
        <w:jc w:val="left"/>
      </w:pPr>
      <w:r>
        <w:t>Graf</w:t>
      </w:r>
      <w:r w:rsidRPr="00BC27BE">
        <w:t xml:space="preserve"> </w:t>
      </w:r>
      <w:r>
        <w:rPr>
          <w:noProof/>
        </w:rPr>
        <w:t>3</w:t>
      </w:r>
      <w:r w:rsidRPr="00BC27BE">
        <w:t>: Struktura osob v SO ORP Olomouc s pobytovým oprávněním v souvislosti s válkou na Ukrajině (stav k 26. 1. 2025)</w:t>
      </w:r>
    </w:p>
    <w:p w:rsidR="00583A07" w:rsidRPr="00BC27BE" w:rsidRDefault="00583A07" w:rsidP="00583A07">
      <w:r>
        <w:rPr>
          <w:noProof/>
          <w:lang w:eastAsia="cs-CZ"/>
        </w:rPr>
        <w:drawing>
          <wp:inline distT="0" distB="0" distL="0" distR="0" wp14:anchorId="32704ADC" wp14:editId="18F4A993">
            <wp:extent cx="4678045" cy="3063875"/>
            <wp:effectExtent l="0" t="0" r="27305" b="22225"/>
            <wp:docPr id="4" name="Graf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83A07" w:rsidRPr="00BF73D6" w:rsidRDefault="00583A07" w:rsidP="00583A07">
      <w:pPr>
        <w:spacing w:after="34"/>
        <w:rPr>
          <w:rFonts w:ascii="Times New Roman" w:hAnsi="Times New Roman" w:cs="Times New Roman"/>
          <w:bCs/>
          <w:i/>
          <w:iCs/>
          <w:sz w:val="18"/>
          <w:highlight w:val="yellow"/>
        </w:rPr>
      </w:pPr>
      <w:r w:rsidRPr="00BF73D6">
        <w:rPr>
          <w:rFonts w:ascii="Times New Roman" w:hAnsi="Times New Roman" w:cs="Times New Roman"/>
          <w:i/>
          <w:color w:val="181717"/>
          <w:sz w:val="20"/>
        </w:rPr>
        <w:t>Zdroj: MVČR (2025), vlastní zpracování, 2025</w:t>
      </w:r>
      <w:r>
        <w:rPr>
          <w:rFonts w:ascii="Times New Roman" w:hAnsi="Times New Roman" w:cs="Times New Roman"/>
          <w:i/>
          <w:color w:val="181717"/>
          <w:sz w:val="20"/>
        </w:rPr>
        <w:t>. Pozn.: n</w:t>
      </w:r>
      <w:r w:rsidRPr="00BF73D6">
        <w:rPr>
          <w:rFonts w:ascii="Times New Roman" w:hAnsi="Times New Roman" w:cs="Times New Roman"/>
          <w:i/>
          <w:color w:val="181717"/>
          <w:sz w:val="20"/>
        </w:rPr>
        <w:t>ejedná se pouze o osoby se státní příslušností Ukrajiny</w:t>
      </w:r>
      <w:r>
        <w:rPr>
          <w:rFonts w:ascii="Times New Roman" w:hAnsi="Times New Roman" w:cs="Times New Roman"/>
          <w:i/>
          <w:color w:val="181717"/>
          <w:sz w:val="20"/>
        </w:rPr>
        <w:t>, z</w:t>
      </w:r>
      <w:r w:rsidRPr="00BF73D6">
        <w:rPr>
          <w:rFonts w:ascii="Times New Roman" w:hAnsi="Times New Roman" w:cs="Times New Roman"/>
          <w:i/>
          <w:iCs/>
          <w:sz w:val="20"/>
          <w:szCs w:val="20"/>
        </w:rPr>
        <w:t xml:space="preserve">pracovalo ACCENDO – Centrum pro vědu a </w:t>
      </w:r>
      <w:proofErr w:type="gramStart"/>
      <w:r w:rsidRPr="00BF73D6">
        <w:rPr>
          <w:rFonts w:ascii="Times New Roman" w:hAnsi="Times New Roman" w:cs="Times New Roman"/>
          <w:i/>
          <w:iCs/>
          <w:sz w:val="20"/>
          <w:szCs w:val="20"/>
        </w:rPr>
        <w:t xml:space="preserve">výzkum, </w:t>
      </w:r>
      <w:proofErr w:type="spellStart"/>
      <w:r w:rsidRPr="00BF73D6">
        <w:rPr>
          <w:rFonts w:ascii="Times New Roman" w:hAnsi="Times New Roman" w:cs="Times New Roman"/>
          <w:i/>
          <w:iCs/>
          <w:sz w:val="20"/>
          <w:szCs w:val="20"/>
        </w:rPr>
        <w:t>z.ú</w:t>
      </w:r>
      <w:proofErr w:type="spellEnd"/>
      <w:r w:rsidRPr="00BF73D6">
        <w:rPr>
          <w:rFonts w:ascii="Times New Roman" w:hAnsi="Times New Roman" w:cs="Times New Roman"/>
          <w:i/>
          <w:iCs/>
          <w:sz w:val="20"/>
          <w:szCs w:val="20"/>
        </w:rPr>
        <w:t>.</w:t>
      </w:r>
      <w:proofErr w:type="gramEnd"/>
    </w:p>
    <w:p w:rsidR="00583A07" w:rsidRDefault="00583A07" w:rsidP="00583A07">
      <w:pPr>
        <w:spacing w:after="13" w:line="310" w:lineRule="auto"/>
        <w:ind w:left="-4" w:right="208" w:hanging="10"/>
        <w:jc w:val="both"/>
        <w:rPr>
          <w:color w:val="181717"/>
        </w:rPr>
      </w:pPr>
    </w:p>
    <w:p w:rsidR="00583A07" w:rsidRPr="00BF73D6" w:rsidRDefault="00583A07" w:rsidP="00583A07">
      <w:pPr>
        <w:spacing w:after="13"/>
        <w:ind w:left="-4" w:right="208" w:hanging="10"/>
        <w:rPr>
          <w:rFonts w:ascii="Times New Roman" w:hAnsi="Times New Roman" w:cs="Times New Roman"/>
          <w:color w:val="181717"/>
          <w:sz w:val="24"/>
          <w:szCs w:val="24"/>
        </w:rPr>
      </w:pPr>
      <w:r w:rsidRPr="00BF73D6">
        <w:rPr>
          <w:rFonts w:ascii="Times New Roman" w:hAnsi="Times New Roman" w:cs="Times New Roman"/>
          <w:color w:val="181717"/>
          <w:sz w:val="24"/>
          <w:szCs w:val="24"/>
        </w:rPr>
        <w:t xml:space="preserve">Počet cizinců žijících ve SO ORP Olomouc </w:t>
      </w:r>
      <w:r>
        <w:rPr>
          <w:rFonts w:ascii="Times New Roman" w:hAnsi="Times New Roman" w:cs="Times New Roman"/>
          <w:color w:val="181717"/>
          <w:sz w:val="24"/>
          <w:szCs w:val="24"/>
        </w:rPr>
        <w:t>byl</w:t>
      </w:r>
      <w:r w:rsidRPr="00BF73D6">
        <w:rPr>
          <w:rFonts w:ascii="Times New Roman" w:hAnsi="Times New Roman" w:cs="Times New Roman"/>
          <w:color w:val="181717"/>
          <w:sz w:val="24"/>
          <w:szCs w:val="24"/>
        </w:rPr>
        <w:t xml:space="preserve"> k 1. 1. 2025 </w:t>
      </w:r>
      <w:r>
        <w:rPr>
          <w:rFonts w:ascii="Times New Roman" w:hAnsi="Times New Roman" w:cs="Times New Roman"/>
          <w:color w:val="181717"/>
          <w:sz w:val="24"/>
          <w:szCs w:val="24"/>
        </w:rPr>
        <w:t xml:space="preserve">celkem </w:t>
      </w:r>
      <w:r w:rsidRPr="00BF73D6">
        <w:rPr>
          <w:rFonts w:ascii="Times New Roman" w:hAnsi="Times New Roman" w:cs="Times New Roman"/>
          <w:color w:val="181717"/>
          <w:sz w:val="24"/>
          <w:szCs w:val="24"/>
        </w:rPr>
        <w:t>10</w:t>
      </w:r>
      <w:r>
        <w:rPr>
          <w:rFonts w:ascii="Times New Roman" w:hAnsi="Times New Roman" w:cs="Times New Roman"/>
          <w:color w:val="181717"/>
          <w:sz w:val="24"/>
          <w:szCs w:val="24"/>
        </w:rPr>
        <w:t> </w:t>
      </w:r>
      <w:r w:rsidRPr="00BF73D6">
        <w:rPr>
          <w:rFonts w:ascii="Times New Roman" w:hAnsi="Times New Roman" w:cs="Times New Roman"/>
          <w:color w:val="181717"/>
          <w:sz w:val="24"/>
          <w:szCs w:val="24"/>
        </w:rPr>
        <w:t>722</w:t>
      </w:r>
      <w:r>
        <w:rPr>
          <w:rFonts w:ascii="Times New Roman" w:hAnsi="Times New Roman" w:cs="Times New Roman"/>
          <w:color w:val="181717"/>
          <w:sz w:val="24"/>
          <w:szCs w:val="24"/>
        </w:rPr>
        <w:t xml:space="preserve"> osob</w:t>
      </w:r>
      <w:r w:rsidRPr="00BF73D6">
        <w:rPr>
          <w:rFonts w:ascii="Times New Roman" w:hAnsi="Times New Roman" w:cs="Times New Roman"/>
          <w:color w:val="181717"/>
          <w:sz w:val="24"/>
          <w:szCs w:val="24"/>
        </w:rPr>
        <w:t>, z toho 30</w:t>
      </w:r>
      <w:r>
        <w:rPr>
          <w:rFonts w:ascii="Times New Roman" w:hAnsi="Times New Roman" w:cs="Times New Roman"/>
          <w:color w:val="181717"/>
          <w:sz w:val="24"/>
          <w:szCs w:val="24"/>
        </w:rPr>
        <w:t> </w:t>
      </w:r>
      <w:r w:rsidRPr="00BF73D6">
        <w:rPr>
          <w:rFonts w:ascii="Times New Roman" w:hAnsi="Times New Roman" w:cs="Times New Roman"/>
          <w:color w:val="181717"/>
          <w:sz w:val="24"/>
          <w:szCs w:val="24"/>
        </w:rPr>
        <w:t xml:space="preserve">% s trvalým pobytem a 70 % s pobytem přechodným. </w:t>
      </w:r>
    </w:p>
    <w:p w:rsidR="00583A07" w:rsidRDefault="00583A07" w:rsidP="00583A07">
      <w:pPr>
        <w:spacing w:after="13" w:line="310" w:lineRule="auto"/>
        <w:ind w:left="-4" w:right="208" w:hanging="10"/>
        <w:jc w:val="both"/>
        <w:rPr>
          <w:color w:val="181717"/>
        </w:rPr>
      </w:pPr>
    </w:p>
    <w:p w:rsidR="00583A07" w:rsidRDefault="00583A07" w:rsidP="00583A07">
      <w:pPr>
        <w:pStyle w:val="Titulek"/>
      </w:pPr>
      <w:r w:rsidRPr="006419B9">
        <w:t xml:space="preserve">Tabulka </w:t>
      </w:r>
      <w:r>
        <w:rPr>
          <w:noProof/>
        </w:rPr>
        <w:t>6</w:t>
      </w:r>
      <w:r w:rsidRPr="006419B9">
        <w:t xml:space="preserve">: Počet </w:t>
      </w:r>
      <w:r>
        <w:t xml:space="preserve">a věkové složení </w:t>
      </w:r>
      <w:r w:rsidRPr="006419B9">
        <w:t>cizinců s realizovaným pobytem v obcích SO ORP Olomouc</w:t>
      </w:r>
      <w:r>
        <w:t xml:space="preserve"> (stav k 1. 1. 2025)</w:t>
      </w:r>
    </w:p>
    <w:tbl>
      <w:tblPr>
        <w:tblW w:w="5000" w:type="pct"/>
        <w:tblCellMar>
          <w:left w:w="70" w:type="dxa"/>
          <w:right w:w="70" w:type="dxa"/>
        </w:tblCellMar>
        <w:tblLook w:val="04A0" w:firstRow="1" w:lastRow="0" w:firstColumn="1" w:lastColumn="0" w:noHBand="0" w:noVBand="1"/>
      </w:tblPr>
      <w:tblGrid>
        <w:gridCol w:w="1646"/>
        <w:gridCol w:w="653"/>
        <w:gridCol w:w="945"/>
        <w:gridCol w:w="945"/>
        <w:gridCol w:w="653"/>
        <w:gridCol w:w="945"/>
        <w:gridCol w:w="945"/>
        <w:gridCol w:w="695"/>
        <w:gridCol w:w="879"/>
        <w:gridCol w:w="906"/>
      </w:tblGrid>
      <w:tr w:rsidR="00583A07" w:rsidTr="009F064E">
        <w:trPr>
          <w:trHeight w:val="876"/>
          <w:tblHeader/>
        </w:trPr>
        <w:tc>
          <w:tcPr>
            <w:tcW w:w="894"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583A07" w:rsidRDefault="00583A07" w:rsidP="009F064E">
            <w:pPr>
              <w:jc w:val="center"/>
              <w:rPr>
                <w:rFonts w:ascii="Calibri" w:hAnsi="Calibri" w:cs="Calibri"/>
                <w:b/>
                <w:bCs/>
                <w:color w:val="000000"/>
                <w:sz w:val="18"/>
                <w:szCs w:val="18"/>
              </w:rPr>
            </w:pPr>
            <w:r>
              <w:rPr>
                <w:rFonts w:ascii="Calibri" w:hAnsi="Calibri" w:cs="Calibri"/>
                <w:b/>
                <w:bCs/>
                <w:color w:val="000000"/>
                <w:sz w:val="18"/>
                <w:szCs w:val="18"/>
              </w:rPr>
              <w:t>Obec</w:t>
            </w:r>
          </w:p>
        </w:tc>
        <w:tc>
          <w:tcPr>
            <w:tcW w:w="1380" w:type="pct"/>
            <w:gridSpan w:val="3"/>
            <w:tcBorders>
              <w:top w:val="single" w:sz="4" w:space="0" w:color="auto"/>
              <w:left w:val="nil"/>
              <w:bottom w:val="single" w:sz="4" w:space="0" w:color="auto"/>
              <w:right w:val="single" w:sz="4" w:space="0" w:color="000000"/>
            </w:tcBorders>
            <w:shd w:val="clear" w:color="000000" w:fill="F2F2F2"/>
            <w:noWrap/>
            <w:vAlign w:val="center"/>
            <w:hideMark/>
          </w:tcPr>
          <w:p w:rsidR="00583A07" w:rsidRDefault="00583A07" w:rsidP="009F064E">
            <w:pPr>
              <w:jc w:val="center"/>
              <w:rPr>
                <w:rFonts w:ascii="Calibri" w:hAnsi="Calibri" w:cs="Calibri"/>
                <w:b/>
                <w:bCs/>
                <w:color w:val="000000"/>
                <w:sz w:val="18"/>
                <w:szCs w:val="18"/>
              </w:rPr>
            </w:pPr>
            <w:r>
              <w:rPr>
                <w:rFonts w:ascii="Calibri" w:hAnsi="Calibri" w:cs="Calibri"/>
                <w:b/>
                <w:bCs/>
                <w:color w:val="000000"/>
                <w:sz w:val="18"/>
                <w:szCs w:val="18"/>
              </w:rPr>
              <w:t>Muži</w:t>
            </w:r>
          </w:p>
        </w:tc>
        <w:tc>
          <w:tcPr>
            <w:tcW w:w="1380" w:type="pct"/>
            <w:gridSpan w:val="3"/>
            <w:tcBorders>
              <w:top w:val="single" w:sz="4" w:space="0" w:color="auto"/>
              <w:left w:val="nil"/>
              <w:bottom w:val="single" w:sz="4" w:space="0" w:color="auto"/>
              <w:right w:val="single" w:sz="4" w:space="0" w:color="auto"/>
            </w:tcBorders>
            <w:shd w:val="clear" w:color="000000" w:fill="F2F2F2"/>
            <w:noWrap/>
            <w:vAlign w:val="center"/>
            <w:hideMark/>
          </w:tcPr>
          <w:p w:rsidR="00583A07" w:rsidRDefault="00583A07" w:rsidP="009F064E">
            <w:pPr>
              <w:jc w:val="center"/>
              <w:rPr>
                <w:rFonts w:ascii="Calibri" w:hAnsi="Calibri" w:cs="Calibri"/>
                <w:b/>
                <w:bCs/>
                <w:color w:val="000000"/>
                <w:sz w:val="18"/>
                <w:szCs w:val="18"/>
              </w:rPr>
            </w:pPr>
            <w:r>
              <w:rPr>
                <w:rFonts w:ascii="Calibri" w:hAnsi="Calibri" w:cs="Calibri"/>
                <w:b/>
                <w:bCs/>
                <w:color w:val="000000"/>
                <w:sz w:val="18"/>
                <w:szCs w:val="18"/>
              </w:rPr>
              <w:t>Ženy</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583A07" w:rsidRDefault="00583A07" w:rsidP="009F064E">
            <w:pPr>
              <w:jc w:val="center"/>
              <w:rPr>
                <w:rFonts w:ascii="Calibri" w:hAnsi="Calibri" w:cs="Calibri"/>
                <w:b/>
                <w:bCs/>
                <w:color w:val="000000"/>
                <w:sz w:val="18"/>
                <w:szCs w:val="18"/>
              </w:rPr>
            </w:pPr>
            <w:r>
              <w:rPr>
                <w:rFonts w:ascii="Calibri" w:hAnsi="Calibri" w:cs="Calibri"/>
                <w:b/>
                <w:bCs/>
                <w:color w:val="000000"/>
                <w:sz w:val="18"/>
                <w:szCs w:val="18"/>
              </w:rPr>
              <w:t>Celkem cizinců</w:t>
            </w:r>
          </w:p>
        </w:tc>
        <w:tc>
          <w:tcPr>
            <w:tcW w:w="969" w:type="pct"/>
            <w:gridSpan w:val="2"/>
            <w:tcBorders>
              <w:top w:val="single" w:sz="4" w:space="0" w:color="auto"/>
              <w:left w:val="nil"/>
              <w:bottom w:val="single" w:sz="4" w:space="0" w:color="auto"/>
              <w:right w:val="single" w:sz="4" w:space="0" w:color="auto"/>
            </w:tcBorders>
            <w:shd w:val="clear" w:color="000000" w:fill="F2F2F2"/>
            <w:noWrap/>
            <w:vAlign w:val="center"/>
            <w:hideMark/>
          </w:tcPr>
          <w:p w:rsidR="00583A07" w:rsidRDefault="00583A07" w:rsidP="009F064E">
            <w:pPr>
              <w:jc w:val="center"/>
              <w:rPr>
                <w:rFonts w:ascii="Calibri" w:hAnsi="Calibri" w:cs="Calibri"/>
                <w:b/>
                <w:bCs/>
                <w:color w:val="000000"/>
                <w:sz w:val="18"/>
                <w:szCs w:val="18"/>
              </w:rPr>
            </w:pPr>
            <w:r>
              <w:rPr>
                <w:rFonts w:ascii="Calibri" w:hAnsi="Calibri" w:cs="Calibri"/>
                <w:b/>
                <w:bCs/>
                <w:color w:val="000000"/>
                <w:sz w:val="18"/>
                <w:szCs w:val="18"/>
              </w:rPr>
              <w:t>Pobyt</w:t>
            </w:r>
          </w:p>
        </w:tc>
      </w:tr>
      <w:tr w:rsidR="00583A07" w:rsidTr="009F064E">
        <w:trPr>
          <w:trHeight w:val="288"/>
          <w:tblHeader/>
        </w:trPr>
        <w:tc>
          <w:tcPr>
            <w:tcW w:w="894" w:type="pct"/>
            <w:vMerge/>
            <w:tcBorders>
              <w:top w:val="single" w:sz="4" w:space="0" w:color="auto"/>
              <w:left w:val="single" w:sz="4" w:space="0" w:color="auto"/>
              <w:bottom w:val="single" w:sz="4" w:space="0" w:color="000000"/>
              <w:right w:val="single" w:sz="4" w:space="0" w:color="auto"/>
            </w:tcBorders>
            <w:vAlign w:val="center"/>
            <w:hideMark/>
          </w:tcPr>
          <w:p w:rsidR="00583A07" w:rsidRDefault="00583A07" w:rsidP="009F064E">
            <w:pPr>
              <w:rPr>
                <w:rFonts w:ascii="Calibri" w:hAnsi="Calibri" w:cs="Calibri"/>
                <w:b/>
                <w:bCs/>
                <w:color w:val="000000"/>
                <w:sz w:val="18"/>
                <w:szCs w:val="18"/>
              </w:rPr>
            </w:pPr>
          </w:p>
        </w:tc>
        <w:tc>
          <w:tcPr>
            <w:tcW w:w="354" w:type="pct"/>
            <w:tcBorders>
              <w:top w:val="nil"/>
              <w:left w:val="nil"/>
              <w:bottom w:val="single" w:sz="4" w:space="0" w:color="auto"/>
              <w:right w:val="single" w:sz="4" w:space="0" w:color="auto"/>
            </w:tcBorders>
            <w:shd w:val="clear" w:color="000000" w:fill="F2F2F2"/>
            <w:noWrap/>
            <w:vAlign w:val="center"/>
            <w:hideMark/>
          </w:tcPr>
          <w:p w:rsidR="00583A07" w:rsidRDefault="00583A07" w:rsidP="009F064E">
            <w:pPr>
              <w:jc w:val="center"/>
              <w:rPr>
                <w:rFonts w:ascii="Calibri" w:hAnsi="Calibri" w:cs="Calibri"/>
                <w:i/>
                <w:iCs/>
                <w:color w:val="000000"/>
                <w:sz w:val="18"/>
                <w:szCs w:val="18"/>
              </w:rPr>
            </w:pPr>
            <w:r>
              <w:rPr>
                <w:rFonts w:ascii="Calibri" w:hAnsi="Calibri" w:cs="Calibri"/>
                <w:i/>
                <w:iCs/>
                <w:color w:val="000000"/>
                <w:sz w:val="18"/>
                <w:szCs w:val="18"/>
              </w:rPr>
              <w:t>celkem</w:t>
            </w:r>
          </w:p>
        </w:tc>
        <w:tc>
          <w:tcPr>
            <w:tcW w:w="513" w:type="pct"/>
            <w:tcBorders>
              <w:top w:val="nil"/>
              <w:left w:val="nil"/>
              <w:bottom w:val="single" w:sz="4" w:space="0" w:color="auto"/>
              <w:right w:val="single" w:sz="4" w:space="0" w:color="auto"/>
            </w:tcBorders>
            <w:shd w:val="clear" w:color="000000" w:fill="F2F2F2"/>
            <w:noWrap/>
            <w:vAlign w:val="center"/>
            <w:hideMark/>
          </w:tcPr>
          <w:p w:rsidR="00583A07" w:rsidRDefault="00583A07" w:rsidP="009F064E">
            <w:pPr>
              <w:jc w:val="center"/>
              <w:rPr>
                <w:rFonts w:ascii="Calibri" w:hAnsi="Calibri" w:cs="Calibri"/>
                <w:i/>
                <w:iCs/>
                <w:color w:val="000000"/>
                <w:sz w:val="18"/>
                <w:szCs w:val="18"/>
              </w:rPr>
            </w:pPr>
            <w:r>
              <w:rPr>
                <w:rFonts w:ascii="Calibri" w:hAnsi="Calibri" w:cs="Calibri"/>
                <w:i/>
                <w:iCs/>
                <w:color w:val="000000"/>
                <w:sz w:val="18"/>
                <w:szCs w:val="18"/>
              </w:rPr>
              <w:t xml:space="preserve">nad 15 </w:t>
            </w:r>
          </w:p>
        </w:tc>
        <w:tc>
          <w:tcPr>
            <w:tcW w:w="513" w:type="pct"/>
            <w:tcBorders>
              <w:top w:val="nil"/>
              <w:left w:val="nil"/>
              <w:bottom w:val="single" w:sz="4" w:space="0" w:color="auto"/>
              <w:right w:val="single" w:sz="4" w:space="0" w:color="auto"/>
            </w:tcBorders>
            <w:shd w:val="clear" w:color="000000" w:fill="F2F2F2"/>
            <w:noWrap/>
            <w:vAlign w:val="center"/>
            <w:hideMark/>
          </w:tcPr>
          <w:p w:rsidR="00583A07" w:rsidRDefault="00583A07" w:rsidP="009F064E">
            <w:pPr>
              <w:jc w:val="center"/>
              <w:rPr>
                <w:rFonts w:ascii="Calibri" w:hAnsi="Calibri" w:cs="Calibri"/>
                <w:i/>
                <w:iCs/>
                <w:color w:val="000000"/>
                <w:sz w:val="18"/>
                <w:szCs w:val="18"/>
              </w:rPr>
            </w:pPr>
            <w:r>
              <w:rPr>
                <w:rFonts w:ascii="Calibri" w:hAnsi="Calibri" w:cs="Calibri"/>
                <w:i/>
                <w:iCs/>
                <w:color w:val="000000"/>
                <w:sz w:val="18"/>
                <w:szCs w:val="18"/>
              </w:rPr>
              <w:t>do 15</w:t>
            </w:r>
          </w:p>
        </w:tc>
        <w:tc>
          <w:tcPr>
            <w:tcW w:w="354" w:type="pct"/>
            <w:tcBorders>
              <w:top w:val="nil"/>
              <w:left w:val="nil"/>
              <w:bottom w:val="single" w:sz="4" w:space="0" w:color="auto"/>
              <w:right w:val="single" w:sz="4" w:space="0" w:color="auto"/>
            </w:tcBorders>
            <w:shd w:val="clear" w:color="000000" w:fill="F2F2F2"/>
            <w:noWrap/>
            <w:vAlign w:val="center"/>
            <w:hideMark/>
          </w:tcPr>
          <w:p w:rsidR="00583A07" w:rsidRDefault="00583A07" w:rsidP="009F064E">
            <w:pPr>
              <w:jc w:val="center"/>
              <w:rPr>
                <w:rFonts w:ascii="Calibri" w:hAnsi="Calibri" w:cs="Calibri"/>
                <w:i/>
                <w:iCs/>
                <w:color w:val="000000"/>
                <w:sz w:val="18"/>
                <w:szCs w:val="18"/>
              </w:rPr>
            </w:pPr>
            <w:r>
              <w:rPr>
                <w:rFonts w:ascii="Calibri" w:hAnsi="Calibri" w:cs="Calibri"/>
                <w:i/>
                <w:iCs/>
                <w:color w:val="000000"/>
                <w:sz w:val="18"/>
                <w:szCs w:val="18"/>
              </w:rPr>
              <w:t>celkem</w:t>
            </w:r>
          </w:p>
        </w:tc>
        <w:tc>
          <w:tcPr>
            <w:tcW w:w="513" w:type="pct"/>
            <w:tcBorders>
              <w:top w:val="nil"/>
              <w:left w:val="nil"/>
              <w:bottom w:val="single" w:sz="4" w:space="0" w:color="auto"/>
              <w:right w:val="single" w:sz="4" w:space="0" w:color="auto"/>
            </w:tcBorders>
            <w:shd w:val="clear" w:color="000000" w:fill="F2F2F2"/>
            <w:noWrap/>
            <w:vAlign w:val="center"/>
            <w:hideMark/>
          </w:tcPr>
          <w:p w:rsidR="00583A07" w:rsidRDefault="00583A07" w:rsidP="009F064E">
            <w:pPr>
              <w:jc w:val="center"/>
              <w:rPr>
                <w:rFonts w:ascii="Calibri" w:hAnsi="Calibri" w:cs="Calibri"/>
                <w:i/>
                <w:iCs/>
                <w:color w:val="000000"/>
                <w:sz w:val="18"/>
                <w:szCs w:val="18"/>
              </w:rPr>
            </w:pPr>
            <w:r>
              <w:rPr>
                <w:rFonts w:ascii="Calibri" w:hAnsi="Calibri" w:cs="Calibri"/>
                <w:i/>
                <w:iCs/>
                <w:color w:val="000000"/>
                <w:sz w:val="18"/>
                <w:szCs w:val="18"/>
              </w:rPr>
              <w:t xml:space="preserve">nad 15 </w:t>
            </w:r>
          </w:p>
        </w:tc>
        <w:tc>
          <w:tcPr>
            <w:tcW w:w="513" w:type="pct"/>
            <w:tcBorders>
              <w:top w:val="nil"/>
              <w:left w:val="nil"/>
              <w:bottom w:val="single" w:sz="4" w:space="0" w:color="auto"/>
              <w:right w:val="single" w:sz="4" w:space="0" w:color="auto"/>
            </w:tcBorders>
            <w:shd w:val="clear" w:color="000000" w:fill="F2F2F2"/>
            <w:noWrap/>
            <w:vAlign w:val="center"/>
            <w:hideMark/>
          </w:tcPr>
          <w:p w:rsidR="00583A07" w:rsidRDefault="00583A07" w:rsidP="009F064E">
            <w:pPr>
              <w:jc w:val="center"/>
              <w:rPr>
                <w:rFonts w:ascii="Calibri" w:hAnsi="Calibri" w:cs="Calibri"/>
                <w:i/>
                <w:iCs/>
                <w:color w:val="000000"/>
                <w:sz w:val="18"/>
                <w:szCs w:val="18"/>
              </w:rPr>
            </w:pPr>
            <w:r>
              <w:rPr>
                <w:rFonts w:ascii="Calibri" w:hAnsi="Calibri" w:cs="Calibri"/>
                <w:i/>
                <w:iCs/>
                <w:color w:val="000000"/>
                <w:sz w:val="18"/>
                <w:szCs w:val="18"/>
              </w:rPr>
              <w:t>do 15</w:t>
            </w:r>
          </w:p>
        </w:tc>
        <w:tc>
          <w:tcPr>
            <w:tcW w:w="377" w:type="pct"/>
            <w:vMerge/>
            <w:tcBorders>
              <w:top w:val="single" w:sz="4" w:space="0" w:color="auto"/>
              <w:left w:val="single" w:sz="4" w:space="0" w:color="auto"/>
              <w:bottom w:val="single" w:sz="4" w:space="0" w:color="000000"/>
              <w:right w:val="single" w:sz="4" w:space="0" w:color="auto"/>
            </w:tcBorders>
            <w:vAlign w:val="center"/>
            <w:hideMark/>
          </w:tcPr>
          <w:p w:rsidR="00583A07" w:rsidRDefault="00583A07" w:rsidP="009F064E">
            <w:pPr>
              <w:rPr>
                <w:rFonts w:ascii="Calibri" w:hAnsi="Calibri" w:cs="Calibri"/>
                <w:b/>
                <w:bCs/>
                <w:color w:val="000000"/>
                <w:sz w:val="18"/>
                <w:szCs w:val="18"/>
              </w:rPr>
            </w:pPr>
          </w:p>
        </w:tc>
        <w:tc>
          <w:tcPr>
            <w:tcW w:w="477" w:type="pct"/>
            <w:tcBorders>
              <w:top w:val="nil"/>
              <w:left w:val="nil"/>
              <w:bottom w:val="single" w:sz="4" w:space="0" w:color="auto"/>
              <w:right w:val="single" w:sz="4" w:space="0" w:color="auto"/>
            </w:tcBorders>
            <w:shd w:val="clear" w:color="000000" w:fill="F2F2F2"/>
            <w:noWrap/>
            <w:vAlign w:val="center"/>
            <w:hideMark/>
          </w:tcPr>
          <w:p w:rsidR="00583A07" w:rsidRDefault="00583A07" w:rsidP="009F064E">
            <w:pPr>
              <w:jc w:val="center"/>
              <w:rPr>
                <w:rFonts w:ascii="Calibri" w:hAnsi="Calibri" w:cs="Calibri"/>
                <w:i/>
                <w:iCs/>
                <w:color w:val="000000"/>
                <w:sz w:val="18"/>
                <w:szCs w:val="18"/>
              </w:rPr>
            </w:pPr>
            <w:r>
              <w:rPr>
                <w:rFonts w:ascii="Calibri" w:hAnsi="Calibri" w:cs="Calibri"/>
                <w:i/>
                <w:iCs/>
                <w:color w:val="000000"/>
                <w:sz w:val="18"/>
                <w:szCs w:val="18"/>
              </w:rPr>
              <w:t>trvalý</w:t>
            </w:r>
          </w:p>
        </w:tc>
        <w:tc>
          <w:tcPr>
            <w:tcW w:w="492" w:type="pct"/>
            <w:tcBorders>
              <w:top w:val="nil"/>
              <w:left w:val="nil"/>
              <w:bottom w:val="single" w:sz="4" w:space="0" w:color="auto"/>
              <w:right w:val="single" w:sz="4" w:space="0" w:color="auto"/>
            </w:tcBorders>
            <w:shd w:val="clear" w:color="000000" w:fill="F2F2F2"/>
            <w:noWrap/>
            <w:vAlign w:val="center"/>
            <w:hideMark/>
          </w:tcPr>
          <w:p w:rsidR="00583A07" w:rsidRDefault="00583A07" w:rsidP="009F064E">
            <w:pPr>
              <w:jc w:val="center"/>
              <w:rPr>
                <w:rFonts w:ascii="Calibri" w:hAnsi="Calibri" w:cs="Calibri"/>
                <w:i/>
                <w:iCs/>
                <w:color w:val="000000"/>
                <w:sz w:val="18"/>
                <w:szCs w:val="18"/>
              </w:rPr>
            </w:pPr>
            <w:r>
              <w:rPr>
                <w:rFonts w:ascii="Calibri" w:hAnsi="Calibri" w:cs="Calibri"/>
                <w:i/>
                <w:iCs/>
                <w:color w:val="000000"/>
                <w:sz w:val="18"/>
                <w:szCs w:val="18"/>
              </w:rPr>
              <w:t>přechodný</w:t>
            </w:r>
          </w:p>
        </w:tc>
      </w:tr>
      <w:tr w:rsidR="00583A07" w:rsidTr="009F064E">
        <w:trPr>
          <w:trHeight w:val="288"/>
        </w:trPr>
        <w:tc>
          <w:tcPr>
            <w:tcW w:w="894" w:type="pct"/>
            <w:tcBorders>
              <w:top w:val="nil"/>
              <w:left w:val="single" w:sz="4" w:space="0" w:color="auto"/>
              <w:bottom w:val="single" w:sz="4" w:space="0" w:color="auto"/>
              <w:right w:val="single" w:sz="4" w:space="0" w:color="auto"/>
            </w:tcBorders>
            <w:shd w:val="clear" w:color="auto" w:fill="auto"/>
            <w:noWrap/>
            <w:vAlign w:val="center"/>
            <w:hideMark/>
          </w:tcPr>
          <w:p w:rsidR="00583A07" w:rsidRPr="009E1C28" w:rsidRDefault="00583A07" w:rsidP="009F064E">
            <w:pPr>
              <w:rPr>
                <w:rFonts w:ascii="Calibri" w:hAnsi="Calibri" w:cs="Calibri"/>
                <w:b/>
                <w:bCs/>
                <w:color w:val="000000"/>
                <w:sz w:val="18"/>
                <w:szCs w:val="18"/>
              </w:rPr>
            </w:pPr>
            <w:r w:rsidRPr="009E1C28">
              <w:rPr>
                <w:rFonts w:ascii="Calibri" w:hAnsi="Calibri" w:cs="Calibri"/>
                <w:b/>
                <w:bCs/>
                <w:color w:val="000000"/>
                <w:sz w:val="18"/>
                <w:szCs w:val="18"/>
              </w:rPr>
              <w:t>SO ORP Olomouc</w:t>
            </w:r>
          </w:p>
        </w:tc>
        <w:tc>
          <w:tcPr>
            <w:tcW w:w="354" w:type="pct"/>
            <w:tcBorders>
              <w:top w:val="single" w:sz="4" w:space="0" w:color="auto"/>
              <w:left w:val="single" w:sz="4" w:space="0" w:color="auto"/>
              <w:bottom w:val="single" w:sz="4" w:space="0" w:color="auto"/>
              <w:right w:val="single" w:sz="4" w:space="0" w:color="auto"/>
            </w:tcBorders>
            <w:shd w:val="clear" w:color="000000" w:fill="F8696B"/>
            <w:noWrap/>
            <w:vAlign w:val="center"/>
            <w:hideMark/>
          </w:tcPr>
          <w:p w:rsidR="00583A07" w:rsidRDefault="00583A07" w:rsidP="009F064E">
            <w:pPr>
              <w:jc w:val="right"/>
              <w:rPr>
                <w:rFonts w:ascii="Calibri" w:hAnsi="Calibri" w:cs="Calibri"/>
                <w:b/>
                <w:bCs/>
                <w:color w:val="000000"/>
                <w:sz w:val="18"/>
                <w:szCs w:val="18"/>
              </w:rPr>
            </w:pPr>
            <w:r>
              <w:rPr>
                <w:rFonts w:ascii="Calibri" w:hAnsi="Calibri" w:cs="Calibri"/>
                <w:b/>
                <w:bCs/>
                <w:color w:val="000000"/>
                <w:sz w:val="18"/>
                <w:szCs w:val="18"/>
              </w:rPr>
              <w:t>5 352</w:t>
            </w:r>
          </w:p>
        </w:tc>
        <w:tc>
          <w:tcPr>
            <w:tcW w:w="513" w:type="pct"/>
            <w:tcBorders>
              <w:top w:val="nil"/>
              <w:left w:val="nil"/>
              <w:bottom w:val="single" w:sz="4" w:space="0" w:color="auto"/>
              <w:right w:val="single" w:sz="4" w:space="0" w:color="auto"/>
            </w:tcBorders>
            <w:shd w:val="clear" w:color="auto" w:fill="auto"/>
            <w:noWrap/>
            <w:vAlign w:val="center"/>
            <w:hideMark/>
          </w:tcPr>
          <w:p w:rsidR="00583A07" w:rsidRDefault="00583A07" w:rsidP="009F064E">
            <w:pPr>
              <w:jc w:val="right"/>
              <w:rPr>
                <w:rFonts w:ascii="Calibri" w:hAnsi="Calibri" w:cs="Calibri"/>
                <w:color w:val="000000"/>
                <w:sz w:val="18"/>
                <w:szCs w:val="18"/>
              </w:rPr>
            </w:pPr>
            <w:r>
              <w:rPr>
                <w:rFonts w:ascii="Calibri" w:hAnsi="Calibri" w:cs="Calibri"/>
                <w:color w:val="000000"/>
                <w:sz w:val="18"/>
                <w:szCs w:val="18"/>
              </w:rPr>
              <w:t>86,9 %</w:t>
            </w:r>
          </w:p>
        </w:tc>
        <w:tc>
          <w:tcPr>
            <w:tcW w:w="513" w:type="pct"/>
            <w:tcBorders>
              <w:top w:val="nil"/>
              <w:left w:val="nil"/>
              <w:bottom w:val="single" w:sz="4" w:space="0" w:color="auto"/>
              <w:right w:val="single" w:sz="4" w:space="0" w:color="auto"/>
            </w:tcBorders>
            <w:shd w:val="clear" w:color="auto" w:fill="auto"/>
            <w:noWrap/>
            <w:vAlign w:val="center"/>
            <w:hideMark/>
          </w:tcPr>
          <w:p w:rsidR="00583A07" w:rsidRDefault="00583A07" w:rsidP="009F064E">
            <w:pPr>
              <w:jc w:val="right"/>
              <w:rPr>
                <w:rFonts w:ascii="Calibri" w:hAnsi="Calibri" w:cs="Calibri"/>
                <w:color w:val="000000"/>
                <w:sz w:val="18"/>
                <w:szCs w:val="18"/>
              </w:rPr>
            </w:pPr>
            <w:r>
              <w:rPr>
                <w:rFonts w:ascii="Calibri" w:hAnsi="Calibri" w:cs="Calibri"/>
                <w:color w:val="000000"/>
                <w:sz w:val="18"/>
                <w:szCs w:val="18"/>
              </w:rPr>
              <w:t>13,1 %</w:t>
            </w:r>
          </w:p>
        </w:tc>
        <w:tc>
          <w:tcPr>
            <w:tcW w:w="354" w:type="pct"/>
            <w:tcBorders>
              <w:top w:val="single" w:sz="4" w:space="0" w:color="auto"/>
              <w:left w:val="single" w:sz="4" w:space="0" w:color="auto"/>
              <w:bottom w:val="single" w:sz="4" w:space="0" w:color="auto"/>
              <w:right w:val="single" w:sz="4" w:space="0" w:color="auto"/>
            </w:tcBorders>
            <w:shd w:val="clear" w:color="000000" w:fill="F8696B"/>
            <w:noWrap/>
            <w:vAlign w:val="center"/>
            <w:hideMark/>
          </w:tcPr>
          <w:p w:rsidR="00583A07" w:rsidRDefault="00583A07" w:rsidP="009F064E">
            <w:pPr>
              <w:jc w:val="right"/>
              <w:rPr>
                <w:rFonts w:ascii="Calibri" w:hAnsi="Calibri" w:cs="Calibri"/>
                <w:b/>
                <w:bCs/>
                <w:color w:val="000000"/>
                <w:sz w:val="18"/>
                <w:szCs w:val="18"/>
              </w:rPr>
            </w:pPr>
            <w:r>
              <w:rPr>
                <w:rFonts w:ascii="Calibri" w:hAnsi="Calibri" w:cs="Calibri"/>
                <w:b/>
                <w:bCs/>
                <w:color w:val="000000"/>
                <w:sz w:val="18"/>
                <w:szCs w:val="18"/>
              </w:rPr>
              <w:t>5 370</w:t>
            </w:r>
          </w:p>
        </w:tc>
        <w:tc>
          <w:tcPr>
            <w:tcW w:w="513" w:type="pct"/>
            <w:tcBorders>
              <w:top w:val="nil"/>
              <w:left w:val="nil"/>
              <w:bottom w:val="single" w:sz="4" w:space="0" w:color="auto"/>
              <w:right w:val="single" w:sz="4" w:space="0" w:color="auto"/>
            </w:tcBorders>
            <w:shd w:val="clear" w:color="auto" w:fill="auto"/>
            <w:noWrap/>
            <w:vAlign w:val="center"/>
            <w:hideMark/>
          </w:tcPr>
          <w:p w:rsidR="00583A07" w:rsidRDefault="00583A07" w:rsidP="009F064E">
            <w:pPr>
              <w:jc w:val="right"/>
              <w:rPr>
                <w:rFonts w:ascii="Calibri" w:hAnsi="Calibri" w:cs="Calibri"/>
                <w:color w:val="000000"/>
                <w:sz w:val="18"/>
                <w:szCs w:val="18"/>
              </w:rPr>
            </w:pPr>
            <w:r>
              <w:rPr>
                <w:rFonts w:ascii="Calibri" w:hAnsi="Calibri" w:cs="Calibri"/>
                <w:color w:val="000000"/>
                <w:sz w:val="18"/>
                <w:szCs w:val="18"/>
              </w:rPr>
              <w:t>87,3 %</w:t>
            </w:r>
          </w:p>
        </w:tc>
        <w:tc>
          <w:tcPr>
            <w:tcW w:w="513" w:type="pct"/>
            <w:tcBorders>
              <w:top w:val="nil"/>
              <w:left w:val="nil"/>
              <w:bottom w:val="single" w:sz="4" w:space="0" w:color="auto"/>
              <w:right w:val="single" w:sz="4" w:space="0" w:color="auto"/>
            </w:tcBorders>
            <w:shd w:val="clear" w:color="auto" w:fill="auto"/>
            <w:noWrap/>
            <w:vAlign w:val="center"/>
            <w:hideMark/>
          </w:tcPr>
          <w:p w:rsidR="00583A07" w:rsidRDefault="00583A07" w:rsidP="009F064E">
            <w:pPr>
              <w:jc w:val="right"/>
              <w:rPr>
                <w:rFonts w:ascii="Calibri" w:hAnsi="Calibri" w:cs="Calibri"/>
                <w:color w:val="000000"/>
                <w:sz w:val="18"/>
                <w:szCs w:val="18"/>
              </w:rPr>
            </w:pPr>
            <w:r>
              <w:rPr>
                <w:rFonts w:ascii="Calibri" w:hAnsi="Calibri" w:cs="Calibri"/>
                <w:color w:val="000000"/>
                <w:sz w:val="18"/>
                <w:szCs w:val="18"/>
              </w:rPr>
              <w:t>12,7 %</w:t>
            </w:r>
          </w:p>
        </w:tc>
        <w:tc>
          <w:tcPr>
            <w:tcW w:w="377" w:type="pct"/>
            <w:tcBorders>
              <w:top w:val="single" w:sz="4" w:space="0" w:color="auto"/>
              <w:left w:val="single" w:sz="4" w:space="0" w:color="auto"/>
              <w:bottom w:val="single" w:sz="4" w:space="0" w:color="auto"/>
              <w:right w:val="single" w:sz="4" w:space="0" w:color="auto"/>
            </w:tcBorders>
            <w:shd w:val="clear" w:color="000000" w:fill="F8696B"/>
            <w:noWrap/>
            <w:vAlign w:val="center"/>
            <w:hideMark/>
          </w:tcPr>
          <w:p w:rsidR="00583A07" w:rsidRDefault="00583A07" w:rsidP="009F064E">
            <w:pPr>
              <w:jc w:val="right"/>
              <w:rPr>
                <w:rFonts w:ascii="Calibri" w:hAnsi="Calibri" w:cs="Calibri"/>
                <w:b/>
                <w:bCs/>
                <w:color w:val="000000"/>
                <w:sz w:val="18"/>
                <w:szCs w:val="18"/>
              </w:rPr>
            </w:pPr>
            <w:r>
              <w:rPr>
                <w:rFonts w:ascii="Calibri" w:hAnsi="Calibri" w:cs="Calibri"/>
                <w:b/>
                <w:bCs/>
                <w:color w:val="000000"/>
                <w:sz w:val="18"/>
                <w:szCs w:val="18"/>
              </w:rPr>
              <w:t>10 722</w:t>
            </w:r>
          </w:p>
        </w:tc>
        <w:tc>
          <w:tcPr>
            <w:tcW w:w="477" w:type="pct"/>
            <w:tcBorders>
              <w:top w:val="nil"/>
              <w:left w:val="nil"/>
              <w:bottom w:val="single" w:sz="4" w:space="0" w:color="auto"/>
              <w:right w:val="single" w:sz="4" w:space="0" w:color="auto"/>
            </w:tcBorders>
            <w:shd w:val="clear" w:color="auto" w:fill="auto"/>
            <w:noWrap/>
            <w:vAlign w:val="center"/>
            <w:hideMark/>
          </w:tcPr>
          <w:p w:rsidR="00583A07" w:rsidRDefault="00583A07" w:rsidP="009F064E">
            <w:pPr>
              <w:jc w:val="right"/>
              <w:rPr>
                <w:rFonts w:ascii="Calibri" w:hAnsi="Calibri" w:cs="Calibri"/>
                <w:color w:val="000000"/>
                <w:sz w:val="18"/>
                <w:szCs w:val="18"/>
              </w:rPr>
            </w:pPr>
            <w:r>
              <w:rPr>
                <w:rFonts w:ascii="Calibri" w:hAnsi="Calibri" w:cs="Calibri"/>
                <w:color w:val="000000"/>
                <w:sz w:val="18"/>
                <w:szCs w:val="18"/>
              </w:rPr>
              <w:t>30,0 %</w:t>
            </w:r>
          </w:p>
        </w:tc>
        <w:tc>
          <w:tcPr>
            <w:tcW w:w="492" w:type="pct"/>
            <w:tcBorders>
              <w:top w:val="nil"/>
              <w:left w:val="nil"/>
              <w:bottom w:val="single" w:sz="4" w:space="0" w:color="auto"/>
              <w:right w:val="single" w:sz="4" w:space="0" w:color="auto"/>
            </w:tcBorders>
            <w:shd w:val="clear" w:color="auto" w:fill="auto"/>
            <w:noWrap/>
            <w:vAlign w:val="center"/>
            <w:hideMark/>
          </w:tcPr>
          <w:p w:rsidR="00583A07" w:rsidRDefault="00583A07" w:rsidP="009F064E">
            <w:pPr>
              <w:jc w:val="right"/>
              <w:rPr>
                <w:rFonts w:ascii="Calibri" w:hAnsi="Calibri" w:cs="Calibri"/>
                <w:color w:val="000000"/>
                <w:sz w:val="18"/>
                <w:szCs w:val="18"/>
              </w:rPr>
            </w:pPr>
            <w:r>
              <w:rPr>
                <w:rFonts w:ascii="Calibri" w:hAnsi="Calibri" w:cs="Calibri"/>
                <w:color w:val="000000"/>
                <w:sz w:val="18"/>
                <w:szCs w:val="18"/>
              </w:rPr>
              <w:t>70,0 %</w:t>
            </w:r>
          </w:p>
        </w:tc>
      </w:tr>
      <w:tr w:rsidR="00583A07" w:rsidTr="009F064E">
        <w:trPr>
          <w:trHeight w:val="288"/>
        </w:trPr>
        <w:tc>
          <w:tcPr>
            <w:tcW w:w="894" w:type="pct"/>
            <w:tcBorders>
              <w:top w:val="nil"/>
              <w:left w:val="single" w:sz="4" w:space="0" w:color="auto"/>
              <w:bottom w:val="single" w:sz="4" w:space="0" w:color="auto"/>
              <w:right w:val="single" w:sz="4" w:space="0" w:color="auto"/>
            </w:tcBorders>
            <w:shd w:val="clear" w:color="auto" w:fill="auto"/>
            <w:noWrap/>
            <w:vAlign w:val="center"/>
            <w:hideMark/>
          </w:tcPr>
          <w:p w:rsidR="00583A07" w:rsidRDefault="00583A07" w:rsidP="009F064E">
            <w:pPr>
              <w:rPr>
                <w:rFonts w:ascii="Calibri" w:hAnsi="Calibri" w:cs="Calibri"/>
                <w:b/>
                <w:bCs/>
                <w:color w:val="000000"/>
                <w:sz w:val="18"/>
                <w:szCs w:val="18"/>
              </w:rPr>
            </w:pPr>
            <w:r>
              <w:rPr>
                <w:rFonts w:ascii="Calibri" w:hAnsi="Calibri" w:cs="Calibri"/>
                <w:b/>
                <w:bCs/>
                <w:color w:val="000000"/>
                <w:sz w:val="18"/>
                <w:szCs w:val="18"/>
              </w:rPr>
              <w:t>Olomouc</w:t>
            </w:r>
          </w:p>
        </w:tc>
        <w:tc>
          <w:tcPr>
            <w:tcW w:w="354" w:type="pct"/>
            <w:tcBorders>
              <w:top w:val="single" w:sz="4" w:space="0" w:color="auto"/>
              <w:left w:val="single" w:sz="4" w:space="0" w:color="auto"/>
              <w:bottom w:val="single" w:sz="4" w:space="0" w:color="auto"/>
              <w:right w:val="single" w:sz="4" w:space="0" w:color="auto"/>
            </w:tcBorders>
            <w:shd w:val="clear" w:color="000000" w:fill="F9898B"/>
            <w:noWrap/>
            <w:vAlign w:val="center"/>
            <w:hideMark/>
          </w:tcPr>
          <w:p w:rsidR="00583A07" w:rsidRDefault="00583A07" w:rsidP="009F064E">
            <w:pPr>
              <w:jc w:val="right"/>
              <w:rPr>
                <w:rFonts w:ascii="Calibri" w:hAnsi="Calibri" w:cs="Calibri"/>
                <w:b/>
                <w:bCs/>
                <w:color w:val="000000"/>
                <w:sz w:val="18"/>
                <w:szCs w:val="18"/>
              </w:rPr>
            </w:pPr>
            <w:r>
              <w:rPr>
                <w:rFonts w:ascii="Calibri" w:hAnsi="Calibri" w:cs="Calibri"/>
                <w:b/>
                <w:bCs/>
                <w:color w:val="000000"/>
                <w:sz w:val="18"/>
                <w:szCs w:val="18"/>
              </w:rPr>
              <w:t>4 221</w:t>
            </w:r>
          </w:p>
        </w:tc>
        <w:tc>
          <w:tcPr>
            <w:tcW w:w="513" w:type="pct"/>
            <w:tcBorders>
              <w:top w:val="nil"/>
              <w:left w:val="nil"/>
              <w:bottom w:val="single" w:sz="4" w:space="0" w:color="auto"/>
              <w:right w:val="single" w:sz="4" w:space="0" w:color="auto"/>
            </w:tcBorders>
            <w:shd w:val="clear" w:color="auto" w:fill="auto"/>
            <w:noWrap/>
            <w:vAlign w:val="center"/>
            <w:hideMark/>
          </w:tcPr>
          <w:p w:rsidR="00583A07" w:rsidRDefault="00583A07" w:rsidP="009F064E">
            <w:pPr>
              <w:jc w:val="right"/>
              <w:rPr>
                <w:rFonts w:ascii="Calibri" w:hAnsi="Calibri" w:cs="Calibri"/>
                <w:color w:val="000000"/>
                <w:sz w:val="18"/>
                <w:szCs w:val="18"/>
              </w:rPr>
            </w:pPr>
            <w:r>
              <w:rPr>
                <w:rFonts w:ascii="Calibri" w:hAnsi="Calibri" w:cs="Calibri"/>
                <w:color w:val="000000"/>
                <w:sz w:val="18"/>
                <w:szCs w:val="18"/>
              </w:rPr>
              <w:t>86,9 %</w:t>
            </w:r>
          </w:p>
        </w:tc>
        <w:tc>
          <w:tcPr>
            <w:tcW w:w="513" w:type="pct"/>
            <w:tcBorders>
              <w:top w:val="nil"/>
              <w:left w:val="nil"/>
              <w:bottom w:val="single" w:sz="4" w:space="0" w:color="auto"/>
              <w:right w:val="single" w:sz="4" w:space="0" w:color="auto"/>
            </w:tcBorders>
            <w:shd w:val="clear" w:color="auto" w:fill="auto"/>
            <w:noWrap/>
            <w:vAlign w:val="center"/>
            <w:hideMark/>
          </w:tcPr>
          <w:p w:rsidR="00583A07" w:rsidRDefault="00583A07" w:rsidP="009F064E">
            <w:pPr>
              <w:jc w:val="right"/>
              <w:rPr>
                <w:rFonts w:ascii="Calibri" w:hAnsi="Calibri" w:cs="Calibri"/>
                <w:color w:val="000000"/>
                <w:sz w:val="18"/>
                <w:szCs w:val="18"/>
              </w:rPr>
            </w:pPr>
            <w:r>
              <w:rPr>
                <w:rFonts w:ascii="Calibri" w:hAnsi="Calibri" w:cs="Calibri"/>
                <w:color w:val="000000"/>
                <w:sz w:val="18"/>
                <w:szCs w:val="18"/>
              </w:rPr>
              <w:t>13,1 %</w:t>
            </w:r>
          </w:p>
        </w:tc>
        <w:tc>
          <w:tcPr>
            <w:tcW w:w="354" w:type="pct"/>
            <w:tcBorders>
              <w:top w:val="single" w:sz="4" w:space="0" w:color="auto"/>
              <w:left w:val="single" w:sz="4" w:space="0" w:color="auto"/>
              <w:bottom w:val="single" w:sz="4" w:space="0" w:color="auto"/>
              <w:right w:val="single" w:sz="4" w:space="0" w:color="auto"/>
            </w:tcBorders>
            <w:shd w:val="clear" w:color="000000" w:fill="F98688"/>
            <w:noWrap/>
            <w:vAlign w:val="center"/>
            <w:hideMark/>
          </w:tcPr>
          <w:p w:rsidR="00583A07" w:rsidRDefault="00583A07" w:rsidP="009F064E">
            <w:pPr>
              <w:jc w:val="right"/>
              <w:rPr>
                <w:rFonts w:ascii="Calibri" w:hAnsi="Calibri" w:cs="Calibri"/>
                <w:b/>
                <w:bCs/>
                <w:color w:val="000000"/>
                <w:sz w:val="18"/>
                <w:szCs w:val="18"/>
              </w:rPr>
            </w:pPr>
            <w:r>
              <w:rPr>
                <w:rFonts w:ascii="Calibri" w:hAnsi="Calibri" w:cs="Calibri"/>
                <w:b/>
                <w:bCs/>
                <w:color w:val="000000"/>
                <w:sz w:val="18"/>
                <w:szCs w:val="18"/>
              </w:rPr>
              <w:t>4 342</w:t>
            </w:r>
          </w:p>
        </w:tc>
        <w:tc>
          <w:tcPr>
            <w:tcW w:w="513" w:type="pct"/>
            <w:tcBorders>
              <w:top w:val="nil"/>
              <w:left w:val="nil"/>
              <w:bottom w:val="single" w:sz="4" w:space="0" w:color="auto"/>
              <w:right w:val="single" w:sz="4" w:space="0" w:color="auto"/>
            </w:tcBorders>
            <w:shd w:val="clear" w:color="auto" w:fill="auto"/>
            <w:noWrap/>
            <w:vAlign w:val="center"/>
            <w:hideMark/>
          </w:tcPr>
          <w:p w:rsidR="00583A07" w:rsidRDefault="00583A07" w:rsidP="009F064E">
            <w:pPr>
              <w:jc w:val="right"/>
              <w:rPr>
                <w:rFonts w:ascii="Calibri" w:hAnsi="Calibri" w:cs="Calibri"/>
                <w:color w:val="000000"/>
                <w:sz w:val="18"/>
                <w:szCs w:val="18"/>
              </w:rPr>
            </w:pPr>
            <w:r>
              <w:rPr>
                <w:rFonts w:ascii="Calibri" w:hAnsi="Calibri" w:cs="Calibri"/>
                <w:color w:val="000000"/>
                <w:sz w:val="18"/>
                <w:szCs w:val="18"/>
              </w:rPr>
              <w:t>87,4 %</w:t>
            </w:r>
          </w:p>
        </w:tc>
        <w:tc>
          <w:tcPr>
            <w:tcW w:w="513" w:type="pct"/>
            <w:tcBorders>
              <w:top w:val="nil"/>
              <w:left w:val="nil"/>
              <w:bottom w:val="single" w:sz="4" w:space="0" w:color="auto"/>
              <w:right w:val="single" w:sz="4" w:space="0" w:color="auto"/>
            </w:tcBorders>
            <w:shd w:val="clear" w:color="auto" w:fill="auto"/>
            <w:noWrap/>
            <w:vAlign w:val="center"/>
            <w:hideMark/>
          </w:tcPr>
          <w:p w:rsidR="00583A07" w:rsidRDefault="00583A07" w:rsidP="009F064E">
            <w:pPr>
              <w:jc w:val="right"/>
              <w:rPr>
                <w:rFonts w:ascii="Calibri" w:hAnsi="Calibri" w:cs="Calibri"/>
                <w:color w:val="000000"/>
                <w:sz w:val="18"/>
                <w:szCs w:val="18"/>
              </w:rPr>
            </w:pPr>
            <w:r>
              <w:rPr>
                <w:rFonts w:ascii="Calibri" w:hAnsi="Calibri" w:cs="Calibri"/>
                <w:color w:val="000000"/>
                <w:sz w:val="18"/>
                <w:szCs w:val="18"/>
              </w:rPr>
              <w:t>12,6 %</w:t>
            </w:r>
          </w:p>
        </w:tc>
        <w:tc>
          <w:tcPr>
            <w:tcW w:w="377" w:type="pct"/>
            <w:tcBorders>
              <w:top w:val="single" w:sz="4" w:space="0" w:color="auto"/>
              <w:left w:val="single" w:sz="4" w:space="0" w:color="auto"/>
              <w:bottom w:val="single" w:sz="4" w:space="0" w:color="auto"/>
              <w:right w:val="single" w:sz="4" w:space="0" w:color="auto"/>
            </w:tcBorders>
            <w:shd w:val="clear" w:color="000000" w:fill="F98789"/>
            <w:noWrap/>
            <w:vAlign w:val="center"/>
            <w:hideMark/>
          </w:tcPr>
          <w:p w:rsidR="00583A07" w:rsidRDefault="00583A07" w:rsidP="009F064E">
            <w:pPr>
              <w:jc w:val="right"/>
              <w:rPr>
                <w:rFonts w:ascii="Calibri" w:hAnsi="Calibri" w:cs="Calibri"/>
                <w:b/>
                <w:bCs/>
                <w:color w:val="000000"/>
                <w:sz w:val="18"/>
                <w:szCs w:val="18"/>
              </w:rPr>
            </w:pPr>
            <w:r>
              <w:rPr>
                <w:rFonts w:ascii="Calibri" w:hAnsi="Calibri" w:cs="Calibri"/>
                <w:b/>
                <w:bCs/>
                <w:color w:val="000000"/>
                <w:sz w:val="18"/>
                <w:szCs w:val="18"/>
              </w:rPr>
              <w:t>8 563</w:t>
            </w:r>
          </w:p>
        </w:tc>
        <w:tc>
          <w:tcPr>
            <w:tcW w:w="477" w:type="pct"/>
            <w:tcBorders>
              <w:top w:val="nil"/>
              <w:left w:val="nil"/>
              <w:bottom w:val="single" w:sz="4" w:space="0" w:color="auto"/>
              <w:right w:val="single" w:sz="4" w:space="0" w:color="auto"/>
            </w:tcBorders>
            <w:shd w:val="clear" w:color="auto" w:fill="auto"/>
            <w:noWrap/>
            <w:vAlign w:val="center"/>
            <w:hideMark/>
          </w:tcPr>
          <w:p w:rsidR="00583A07" w:rsidRDefault="00583A07" w:rsidP="009F064E">
            <w:pPr>
              <w:jc w:val="right"/>
              <w:rPr>
                <w:rFonts w:ascii="Calibri" w:hAnsi="Calibri" w:cs="Calibri"/>
                <w:color w:val="000000"/>
                <w:sz w:val="18"/>
                <w:szCs w:val="18"/>
              </w:rPr>
            </w:pPr>
            <w:r>
              <w:rPr>
                <w:rFonts w:ascii="Calibri" w:hAnsi="Calibri" w:cs="Calibri"/>
                <w:color w:val="000000"/>
                <w:sz w:val="18"/>
                <w:szCs w:val="18"/>
              </w:rPr>
              <w:t>29,5 %</w:t>
            </w:r>
          </w:p>
        </w:tc>
        <w:tc>
          <w:tcPr>
            <w:tcW w:w="492" w:type="pct"/>
            <w:tcBorders>
              <w:top w:val="nil"/>
              <w:left w:val="nil"/>
              <w:bottom w:val="single" w:sz="4" w:space="0" w:color="auto"/>
              <w:right w:val="single" w:sz="4" w:space="0" w:color="auto"/>
            </w:tcBorders>
            <w:shd w:val="clear" w:color="auto" w:fill="auto"/>
            <w:noWrap/>
            <w:vAlign w:val="center"/>
            <w:hideMark/>
          </w:tcPr>
          <w:p w:rsidR="00583A07" w:rsidRDefault="00583A07" w:rsidP="009F064E">
            <w:pPr>
              <w:jc w:val="right"/>
              <w:rPr>
                <w:rFonts w:ascii="Calibri" w:hAnsi="Calibri" w:cs="Calibri"/>
                <w:color w:val="000000"/>
                <w:sz w:val="18"/>
                <w:szCs w:val="18"/>
              </w:rPr>
            </w:pPr>
            <w:r>
              <w:rPr>
                <w:rFonts w:ascii="Calibri" w:hAnsi="Calibri" w:cs="Calibri"/>
                <w:color w:val="000000"/>
                <w:sz w:val="18"/>
                <w:szCs w:val="18"/>
              </w:rPr>
              <w:t>70,5 %</w:t>
            </w:r>
          </w:p>
        </w:tc>
      </w:tr>
    </w:tbl>
    <w:p w:rsidR="00583A07" w:rsidRPr="00BF73D6" w:rsidRDefault="00583A07" w:rsidP="00583A07">
      <w:pPr>
        <w:pStyle w:val="Zdroje"/>
        <w:spacing w:after="0"/>
        <w:rPr>
          <w:rFonts w:ascii="Times New Roman" w:hAnsi="Times New Roman"/>
          <w:sz w:val="20"/>
          <w:szCs w:val="20"/>
        </w:rPr>
      </w:pPr>
      <w:r w:rsidRPr="00BF73D6">
        <w:rPr>
          <w:rFonts w:ascii="Times New Roman" w:hAnsi="Times New Roman"/>
          <w:sz w:val="20"/>
          <w:szCs w:val="20"/>
        </w:rPr>
        <w:t xml:space="preserve">Zdroj: </w:t>
      </w:r>
      <w:r w:rsidR="009E1C28">
        <w:rPr>
          <w:rFonts w:ascii="Times New Roman" w:hAnsi="Times New Roman"/>
          <w:sz w:val="20"/>
          <w:szCs w:val="20"/>
        </w:rPr>
        <w:t>MV</w:t>
      </w:r>
      <w:r w:rsidRPr="00BF73D6">
        <w:rPr>
          <w:rFonts w:ascii="Times New Roman" w:hAnsi="Times New Roman"/>
          <w:sz w:val="20"/>
          <w:szCs w:val="20"/>
        </w:rPr>
        <w:t xml:space="preserve"> ČR, stav k 1. 1. 2025. Pozn. Cizinci s realizovaným pobytem jsou cizinci s pobytem trvalým a pobytem přechodným, zpracovalo ACCENDO – Centrum pro vědu a </w:t>
      </w:r>
      <w:proofErr w:type="gramStart"/>
      <w:r w:rsidRPr="00BF73D6">
        <w:rPr>
          <w:rFonts w:ascii="Times New Roman" w:hAnsi="Times New Roman"/>
          <w:sz w:val="20"/>
          <w:szCs w:val="20"/>
        </w:rPr>
        <w:t xml:space="preserve">výzkum, </w:t>
      </w:r>
      <w:proofErr w:type="spellStart"/>
      <w:r w:rsidRPr="00BF73D6">
        <w:rPr>
          <w:rFonts w:ascii="Times New Roman" w:hAnsi="Times New Roman"/>
          <w:sz w:val="20"/>
          <w:szCs w:val="20"/>
        </w:rPr>
        <w:t>z.ú</w:t>
      </w:r>
      <w:proofErr w:type="spellEnd"/>
      <w:r w:rsidRPr="00BF73D6">
        <w:rPr>
          <w:rFonts w:ascii="Times New Roman" w:hAnsi="Times New Roman"/>
          <w:sz w:val="20"/>
          <w:szCs w:val="20"/>
        </w:rPr>
        <w:t>.</w:t>
      </w:r>
      <w:proofErr w:type="gramEnd"/>
    </w:p>
    <w:p w:rsidR="00583A07" w:rsidRDefault="00583A07" w:rsidP="00583A07">
      <w:pPr>
        <w:spacing w:after="13" w:line="310" w:lineRule="auto"/>
        <w:ind w:left="-4" w:right="208" w:hanging="10"/>
        <w:jc w:val="both"/>
        <w:rPr>
          <w:color w:val="181717"/>
        </w:rPr>
      </w:pPr>
    </w:p>
    <w:p w:rsidR="00415626" w:rsidRPr="005065E2" w:rsidRDefault="005065E2" w:rsidP="00FB51C5">
      <w:pPr>
        <w:jc w:val="both"/>
        <w:rPr>
          <w:rFonts w:ascii="Times New Roman" w:hAnsi="Times New Roman" w:cs="Times New Roman"/>
          <w:b/>
          <w:sz w:val="24"/>
          <w:szCs w:val="24"/>
        </w:rPr>
      </w:pPr>
      <w:r w:rsidRPr="005065E2">
        <w:rPr>
          <w:rFonts w:ascii="Times New Roman" w:hAnsi="Times New Roman" w:cs="Times New Roman"/>
          <w:b/>
          <w:sz w:val="24"/>
          <w:szCs w:val="24"/>
        </w:rPr>
        <w:t>Vzdělanostní struktura</w:t>
      </w:r>
    </w:p>
    <w:p w:rsidR="005065E2" w:rsidRDefault="005065E2" w:rsidP="004A3002">
      <w:pPr>
        <w:rPr>
          <w:rFonts w:ascii="Times New Roman" w:hAnsi="Times New Roman" w:cs="Times New Roman"/>
          <w:sz w:val="24"/>
          <w:szCs w:val="24"/>
        </w:rPr>
      </w:pPr>
      <w:r w:rsidRPr="005065E2">
        <w:rPr>
          <w:rFonts w:ascii="Times New Roman" w:hAnsi="Times New Roman" w:cs="Times New Roman"/>
          <w:bCs/>
          <w:sz w:val="24"/>
          <w:szCs w:val="24"/>
        </w:rPr>
        <w:t>Vzdělanostní struktur</w:t>
      </w:r>
      <w:r>
        <w:rPr>
          <w:rFonts w:ascii="Times New Roman" w:hAnsi="Times New Roman" w:cs="Times New Roman"/>
          <w:bCs/>
          <w:sz w:val="24"/>
          <w:szCs w:val="24"/>
        </w:rPr>
        <w:t>a je</w:t>
      </w:r>
      <w:r w:rsidRPr="005065E2">
        <w:rPr>
          <w:rFonts w:ascii="Times New Roman" w:hAnsi="Times New Roman" w:cs="Times New Roman"/>
          <w:sz w:val="24"/>
          <w:szCs w:val="24"/>
        </w:rPr>
        <w:t xml:space="preserve"> sled</w:t>
      </w:r>
      <w:r>
        <w:rPr>
          <w:rFonts w:ascii="Times New Roman" w:hAnsi="Times New Roman" w:cs="Times New Roman"/>
          <w:sz w:val="24"/>
          <w:szCs w:val="24"/>
        </w:rPr>
        <w:t>ována</w:t>
      </w:r>
      <w:r w:rsidRPr="005065E2">
        <w:rPr>
          <w:rFonts w:ascii="Times New Roman" w:hAnsi="Times New Roman" w:cs="Times New Roman"/>
          <w:sz w:val="24"/>
          <w:szCs w:val="24"/>
        </w:rPr>
        <w:t xml:space="preserve"> od 15 let u obyvatel obvykle bydlících v rámci SMOl. Tato skupina čítala při posledním SLBD z roku 2021 89 328 obyvatel. Nejpočetnější zastoupení mají obyvatelé s </w:t>
      </w:r>
      <w:r w:rsidRPr="005065E2">
        <w:rPr>
          <w:rFonts w:ascii="Times New Roman" w:hAnsi="Times New Roman" w:cs="Times New Roman"/>
          <w:bCs/>
          <w:sz w:val="24"/>
          <w:szCs w:val="24"/>
        </w:rPr>
        <w:t>úplným středním vzděláním</w:t>
      </w:r>
      <w:r w:rsidRPr="005065E2">
        <w:rPr>
          <w:rFonts w:ascii="Times New Roman" w:hAnsi="Times New Roman" w:cs="Times New Roman"/>
          <w:sz w:val="24"/>
          <w:szCs w:val="24"/>
        </w:rPr>
        <w:t xml:space="preserve">, včetně konzervatoří a vyššího odborného vzdělání. Jedná se o </w:t>
      </w:r>
      <w:r w:rsidRPr="005065E2">
        <w:rPr>
          <w:rFonts w:ascii="Times New Roman" w:hAnsi="Times New Roman" w:cs="Times New Roman"/>
          <w:bCs/>
          <w:sz w:val="24"/>
          <w:szCs w:val="24"/>
        </w:rPr>
        <w:t>31 028 obyvatel SMOl, což je 34,7 %</w:t>
      </w:r>
      <w:r w:rsidRPr="005065E2">
        <w:rPr>
          <w:rFonts w:ascii="Times New Roman" w:hAnsi="Times New Roman" w:cs="Times New Roman"/>
          <w:sz w:val="24"/>
          <w:szCs w:val="24"/>
        </w:rPr>
        <w:t xml:space="preserve"> z celkového počtu nad 15 let. </w:t>
      </w:r>
      <w:r w:rsidRPr="005065E2">
        <w:rPr>
          <w:rFonts w:ascii="Times New Roman" w:hAnsi="Times New Roman" w:cs="Times New Roman"/>
          <w:bCs/>
          <w:sz w:val="24"/>
          <w:szCs w:val="24"/>
        </w:rPr>
        <w:t>Vysokoškolské vzdělání má 24 062 (26,9 %)</w:t>
      </w:r>
      <w:r w:rsidRPr="005065E2">
        <w:rPr>
          <w:rFonts w:ascii="Times New Roman" w:hAnsi="Times New Roman" w:cs="Times New Roman"/>
          <w:sz w:val="24"/>
          <w:szCs w:val="24"/>
        </w:rPr>
        <w:t xml:space="preserve"> a jedná se o druhou nejpočetnější skupinu. Následuje vzdělání </w:t>
      </w:r>
      <w:r w:rsidRPr="005065E2">
        <w:rPr>
          <w:rFonts w:ascii="Times New Roman" w:hAnsi="Times New Roman" w:cs="Times New Roman"/>
          <w:bCs/>
          <w:sz w:val="24"/>
          <w:szCs w:val="24"/>
        </w:rPr>
        <w:t>středoškolské bez maturity, vč. vyučení, které čítá 20 628 obyvatel (23,1 %)</w:t>
      </w:r>
      <w:r w:rsidRPr="005065E2">
        <w:rPr>
          <w:rFonts w:ascii="Times New Roman" w:hAnsi="Times New Roman" w:cs="Times New Roman"/>
          <w:sz w:val="24"/>
          <w:szCs w:val="24"/>
        </w:rPr>
        <w:t xml:space="preserve">. Dále </w:t>
      </w:r>
      <w:r w:rsidRPr="005065E2">
        <w:rPr>
          <w:rFonts w:ascii="Times New Roman" w:hAnsi="Times New Roman" w:cs="Times New Roman"/>
          <w:bCs/>
          <w:sz w:val="24"/>
          <w:szCs w:val="24"/>
        </w:rPr>
        <w:t>základní vzdělání, včetně neukončeného 9 039 (10,1 %)</w:t>
      </w:r>
      <w:r w:rsidRPr="005065E2">
        <w:rPr>
          <w:rFonts w:ascii="Times New Roman" w:hAnsi="Times New Roman" w:cs="Times New Roman"/>
          <w:sz w:val="24"/>
          <w:szCs w:val="24"/>
        </w:rPr>
        <w:t xml:space="preserve"> a bez vzdělání 390 (0,4 %). V rámci tohoto sčítání neuvedlo data 4 171 respondentů (4,7 %).</w:t>
      </w:r>
    </w:p>
    <w:p w:rsidR="005065E2" w:rsidRPr="005065E2" w:rsidRDefault="005065E2" w:rsidP="004A3002">
      <w:pPr>
        <w:rPr>
          <w:rFonts w:ascii="Times New Roman" w:hAnsi="Times New Roman" w:cs="Times New Roman"/>
          <w:sz w:val="24"/>
          <w:szCs w:val="24"/>
        </w:rPr>
      </w:pPr>
      <w:r w:rsidRPr="005065E2">
        <w:rPr>
          <w:rFonts w:ascii="Times New Roman" w:hAnsi="Times New Roman" w:cs="Times New Roman"/>
          <w:sz w:val="24"/>
          <w:szCs w:val="24"/>
        </w:rPr>
        <w:t>Pokud data o vzdělání obyvatel SMOl porovnáme s podobně velkými městy</w:t>
      </w:r>
      <w:r>
        <w:rPr>
          <w:rStyle w:val="Znakapoznpodarou"/>
          <w:rFonts w:ascii="Times New Roman" w:hAnsi="Times New Roman"/>
          <w:sz w:val="24"/>
          <w:szCs w:val="24"/>
        </w:rPr>
        <w:footnoteReference w:id="4"/>
      </w:r>
      <w:r w:rsidRPr="005065E2">
        <w:rPr>
          <w:rFonts w:ascii="Times New Roman" w:hAnsi="Times New Roman" w:cs="Times New Roman"/>
          <w:sz w:val="24"/>
          <w:szCs w:val="24"/>
        </w:rPr>
        <w:t xml:space="preserve">, tak zjistíme, že v kategorii </w:t>
      </w:r>
      <w:r w:rsidRPr="005065E2">
        <w:rPr>
          <w:rFonts w:ascii="Times New Roman" w:hAnsi="Times New Roman" w:cs="Times New Roman"/>
          <w:bCs/>
          <w:sz w:val="24"/>
          <w:szCs w:val="24"/>
        </w:rPr>
        <w:t>vysokoškolského vzdělání</w:t>
      </w:r>
      <w:r w:rsidRPr="005065E2">
        <w:rPr>
          <w:rFonts w:ascii="Times New Roman" w:hAnsi="Times New Roman" w:cs="Times New Roman"/>
          <w:sz w:val="24"/>
          <w:szCs w:val="24"/>
        </w:rPr>
        <w:t xml:space="preserve"> má SMOl s podílem 26,9 % největší zastoupení mezi sledovanými městy. Následuje Hradec Králové s 23,7 %. Naopak nejnižší podíl má Ústí nad Labem. V kategorii </w:t>
      </w:r>
      <w:r w:rsidRPr="005065E2">
        <w:rPr>
          <w:rFonts w:ascii="Times New Roman" w:hAnsi="Times New Roman" w:cs="Times New Roman"/>
          <w:bCs/>
          <w:sz w:val="24"/>
          <w:szCs w:val="24"/>
        </w:rPr>
        <w:t>úplného středoškolského vzdělání</w:t>
      </w:r>
      <w:r w:rsidRPr="005065E2">
        <w:rPr>
          <w:rFonts w:ascii="Times New Roman" w:hAnsi="Times New Roman" w:cs="Times New Roman"/>
          <w:sz w:val="24"/>
          <w:szCs w:val="24"/>
        </w:rPr>
        <w:t xml:space="preserve">, vč. konzervatoří a vyšších odborných škol je SMOl s podílem 34,7 % třetí mezi sledovanými městy. </w:t>
      </w:r>
      <w:proofErr w:type="gramStart"/>
      <w:r w:rsidRPr="005065E2">
        <w:rPr>
          <w:rFonts w:ascii="Times New Roman" w:hAnsi="Times New Roman" w:cs="Times New Roman"/>
          <w:sz w:val="24"/>
          <w:szCs w:val="24"/>
        </w:rPr>
        <w:t>Nad</w:t>
      </w:r>
      <w:proofErr w:type="gramEnd"/>
      <w:r w:rsidRPr="005065E2">
        <w:rPr>
          <w:rFonts w:ascii="Times New Roman" w:hAnsi="Times New Roman" w:cs="Times New Roman"/>
          <w:sz w:val="24"/>
          <w:szCs w:val="24"/>
        </w:rPr>
        <w:t xml:space="preserve"> SMOl se umístil Hradec Králové s 37,6 % a České Budějovice 35 %. Středoškolské vzdělání bez maturity, vč. vyučení v rámci SMOl je zastoupeno 23,1 %</w:t>
      </w:r>
      <w:r w:rsidR="007E2EA9">
        <w:rPr>
          <w:rFonts w:ascii="Times New Roman" w:hAnsi="Times New Roman" w:cs="Times New Roman"/>
          <w:sz w:val="24"/>
          <w:szCs w:val="24"/>
        </w:rPr>
        <w:t>,</w:t>
      </w:r>
      <w:r w:rsidRPr="005065E2">
        <w:rPr>
          <w:rFonts w:ascii="Times New Roman" w:hAnsi="Times New Roman" w:cs="Times New Roman"/>
          <w:sz w:val="24"/>
          <w:szCs w:val="24"/>
        </w:rPr>
        <w:t xml:space="preserve"> což je nejnižší hodnota mezi sledovanými městy. Naopak nejvyšší podíl má Ústí nad Labem se zastoupením 29,1 %. Základní vzdělání, vč. neukončeného vzdělání má v rámci SMOl 10,1 % obyvatel, což je druhá nejnižší hodnota. Menší zastoupení sledujeme pouze u Hradce Králové, kde je hodnota 9,7 %.</w:t>
      </w:r>
    </w:p>
    <w:p w:rsidR="007141B3" w:rsidRDefault="007141B3" w:rsidP="00D43196">
      <w:pPr>
        <w:pStyle w:val="Nadpis3"/>
        <w:rPr>
          <w:rFonts w:ascii="Times New Roman" w:hAnsi="Times New Roman" w:cs="Times New Roman"/>
          <w:color w:val="auto"/>
          <w:sz w:val="24"/>
          <w:szCs w:val="24"/>
        </w:rPr>
      </w:pPr>
      <w:bookmarkStart w:id="1" w:name="_Toc167450064"/>
      <w:bookmarkStart w:id="2" w:name="_Toc189118739"/>
      <w:r>
        <w:rPr>
          <w:rFonts w:ascii="Times New Roman" w:hAnsi="Times New Roman" w:cs="Times New Roman"/>
          <w:color w:val="auto"/>
          <w:sz w:val="24"/>
          <w:szCs w:val="24"/>
        </w:rPr>
        <w:t>Domovní a bytový fond</w:t>
      </w:r>
    </w:p>
    <w:p w:rsidR="007141B3" w:rsidRDefault="007141B3" w:rsidP="00A6476C">
      <w:pPr>
        <w:spacing w:after="0"/>
      </w:pPr>
    </w:p>
    <w:p w:rsidR="007141B3" w:rsidRDefault="007141B3" w:rsidP="007141B3">
      <w:pPr>
        <w:rPr>
          <w:rFonts w:ascii="Times New Roman" w:hAnsi="Times New Roman" w:cs="Times New Roman"/>
          <w:sz w:val="24"/>
          <w:szCs w:val="24"/>
        </w:rPr>
      </w:pPr>
      <w:r w:rsidRPr="007141B3">
        <w:rPr>
          <w:rFonts w:ascii="Times New Roman" w:hAnsi="Times New Roman" w:cs="Times New Roman"/>
          <w:sz w:val="24"/>
          <w:szCs w:val="24"/>
        </w:rPr>
        <w:t xml:space="preserve">V roce 2021 bylo v rámci SLDB na území statutárního města Olomouce zaznamenáno celkem 11 569 domů. </w:t>
      </w:r>
      <w:r w:rsidRPr="007141B3">
        <w:rPr>
          <w:rFonts w:ascii="Times New Roman" w:hAnsi="Times New Roman" w:cs="Times New Roman"/>
          <w:bCs/>
          <w:sz w:val="24"/>
          <w:szCs w:val="24"/>
        </w:rPr>
        <w:t xml:space="preserve">Absolutní počet obydlených domů se </w:t>
      </w:r>
      <w:r w:rsidR="00D24E4E">
        <w:rPr>
          <w:rFonts w:ascii="Times New Roman" w:hAnsi="Times New Roman" w:cs="Times New Roman"/>
          <w:bCs/>
          <w:sz w:val="24"/>
          <w:szCs w:val="24"/>
        </w:rPr>
        <w:t>v průběhu let zvyšuje</w:t>
      </w:r>
      <w:r w:rsidRPr="007141B3">
        <w:rPr>
          <w:rFonts w:ascii="Times New Roman" w:hAnsi="Times New Roman" w:cs="Times New Roman"/>
          <w:sz w:val="24"/>
          <w:szCs w:val="24"/>
        </w:rPr>
        <w:t>, p</w:t>
      </w:r>
      <w:r w:rsidRPr="007141B3">
        <w:rPr>
          <w:rFonts w:ascii="Times New Roman" w:hAnsi="Times New Roman" w:cs="Times New Roman"/>
          <w:bCs/>
          <w:sz w:val="24"/>
          <w:szCs w:val="24"/>
        </w:rPr>
        <w:t>řesto však jejich podíl na celkovém počtu domů kles</w:t>
      </w:r>
      <w:r w:rsidR="00D24E4E">
        <w:rPr>
          <w:rFonts w:ascii="Times New Roman" w:hAnsi="Times New Roman" w:cs="Times New Roman"/>
          <w:bCs/>
          <w:sz w:val="24"/>
          <w:szCs w:val="24"/>
        </w:rPr>
        <w:t xml:space="preserve">á </w:t>
      </w:r>
      <w:r w:rsidR="00D24E4E">
        <w:rPr>
          <w:rFonts w:ascii="Times New Roman" w:hAnsi="Times New Roman" w:cs="Times New Roman"/>
          <w:sz w:val="24"/>
          <w:szCs w:val="24"/>
        </w:rPr>
        <w:t>a</w:t>
      </w:r>
      <w:r w:rsidRPr="007141B3">
        <w:rPr>
          <w:rFonts w:ascii="Times New Roman" w:hAnsi="Times New Roman" w:cs="Times New Roman"/>
          <w:bCs/>
          <w:sz w:val="24"/>
          <w:szCs w:val="24"/>
        </w:rPr>
        <w:t xml:space="preserve"> trend relativního růstu neobydlených domů</w:t>
      </w:r>
      <w:r w:rsidR="00D24E4E">
        <w:rPr>
          <w:rFonts w:ascii="Times New Roman" w:hAnsi="Times New Roman" w:cs="Times New Roman"/>
          <w:sz w:val="24"/>
          <w:szCs w:val="24"/>
        </w:rPr>
        <w:t xml:space="preserve"> pokračuje</w:t>
      </w:r>
      <w:r w:rsidRPr="007141B3">
        <w:rPr>
          <w:rFonts w:ascii="Times New Roman" w:hAnsi="Times New Roman" w:cs="Times New Roman"/>
          <w:sz w:val="24"/>
          <w:szCs w:val="24"/>
        </w:rPr>
        <w:t>.</w:t>
      </w:r>
      <w:r w:rsidR="00D24E4E">
        <w:rPr>
          <w:rFonts w:ascii="Times New Roman" w:hAnsi="Times New Roman" w:cs="Times New Roman"/>
          <w:sz w:val="24"/>
          <w:szCs w:val="24"/>
        </w:rPr>
        <w:t xml:space="preserve"> </w:t>
      </w:r>
      <w:r w:rsidR="00D24E4E" w:rsidRPr="00D24E4E">
        <w:rPr>
          <w:rFonts w:ascii="Times New Roman" w:hAnsi="Times New Roman" w:cs="Times New Roman"/>
          <w:sz w:val="24"/>
          <w:szCs w:val="24"/>
        </w:rPr>
        <w:t>Největší podíl obydlených domů je ve vlastnictví fyzických osob (73,3 %), což přibližně odpovídá podílu rodinných domů (69,6 %) na celkovém počtu obydlených domů.</w:t>
      </w:r>
      <w:r w:rsidR="00D24E4E">
        <w:rPr>
          <w:rFonts w:ascii="Times New Roman" w:hAnsi="Times New Roman" w:cs="Times New Roman"/>
          <w:sz w:val="24"/>
          <w:szCs w:val="24"/>
        </w:rPr>
        <w:t xml:space="preserve"> </w:t>
      </w:r>
    </w:p>
    <w:p w:rsidR="00D24E4E" w:rsidRPr="00D24E4E" w:rsidRDefault="00D24E4E" w:rsidP="007141B3">
      <w:pPr>
        <w:rPr>
          <w:rFonts w:ascii="Times New Roman" w:hAnsi="Times New Roman" w:cs="Times New Roman"/>
          <w:sz w:val="24"/>
          <w:szCs w:val="24"/>
        </w:rPr>
      </w:pPr>
      <w:r w:rsidRPr="00D24E4E">
        <w:rPr>
          <w:rFonts w:ascii="Times New Roman" w:hAnsi="Times New Roman" w:cs="Times New Roman"/>
          <w:iCs/>
          <w:sz w:val="24"/>
          <w:szCs w:val="24"/>
        </w:rPr>
        <w:t xml:space="preserve">V roce 2021 bylo v rámci SLDB </w:t>
      </w:r>
      <w:r w:rsidRPr="00D24E4E">
        <w:rPr>
          <w:rFonts w:ascii="Times New Roman" w:hAnsi="Times New Roman" w:cs="Times New Roman"/>
          <w:sz w:val="24"/>
          <w:szCs w:val="24"/>
        </w:rPr>
        <w:t>na území statutárního města Olomouce</w:t>
      </w:r>
      <w:r w:rsidRPr="00D24E4E">
        <w:rPr>
          <w:rFonts w:ascii="Times New Roman" w:hAnsi="Times New Roman" w:cs="Times New Roman"/>
          <w:iCs/>
          <w:sz w:val="24"/>
          <w:szCs w:val="24"/>
        </w:rPr>
        <w:t xml:space="preserve"> zaznamenáno</w:t>
      </w:r>
      <w:r w:rsidRPr="00D24E4E">
        <w:rPr>
          <w:rFonts w:ascii="Times New Roman" w:hAnsi="Times New Roman" w:cs="Times New Roman"/>
          <w:i/>
          <w:sz w:val="24"/>
          <w:szCs w:val="24"/>
        </w:rPr>
        <w:t xml:space="preserve"> </w:t>
      </w:r>
      <w:r w:rsidRPr="00D24E4E">
        <w:rPr>
          <w:rFonts w:ascii="Times New Roman" w:hAnsi="Times New Roman" w:cs="Times New Roman"/>
          <w:sz w:val="24"/>
          <w:szCs w:val="24"/>
        </w:rPr>
        <w:t>celkem 56 692 bytů.</w:t>
      </w:r>
      <w:r>
        <w:rPr>
          <w:rFonts w:ascii="Times New Roman" w:hAnsi="Times New Roman" w:cs="Times New Roman"/>
          <w:sz w:val="24"/>
          <w:szCs w:val="24"/>
        </w:rPr>
        <w:t xml:space="preserve"> </w:t>
      </w:r>
      <w:r w:rsidRPr="007141B3">
        <w:rPr>
          <w:rFonts w:ascii="Times New Roman" w:hAnsi="Times New Roman" w:cs="Times New Roman"/>
          <w:bCs/>
          <w:sz w:val="24"/>
          <w:szCs w:val="24"/>
        </w:rPr>
        <w:t xml:space="preserve">Absolutní počet obydlených </w:t>
      </w:r>
      <w:r>
        <w:rPr>
          <w:rFonts w:ascii="Times New Roman" w:hAnsi="Times New Roman" w:cs="Times New Roman"/>
          <w:bCs/>
          <w:sz w:val="24"/>
          <w:szCs w:val="24"/>
        </w:rPr>
        <w:t>bytů</w:t>
      </w:r>
      <w:r w:rsidRPr="007141B3">
        <w:rPr>
          <w:rFonts w:ascii="Times New Roman" w:hAnsi="Times New Roman" w:cs="Times New Roman"/>
          <w:bCs/>
          <w:sz w:val="24"/>
          <w:szCs w:val="24"/>
        </w:rPr>
        <w:t xml:space="preserve"> se </w:t>
      </w:r>
      <w:r>
        <w:rPr>
          <w:rFonts w:ascii="Times New Roman" w:hAnsi="Times New Roman" w:cs="Times New Roman"/>
          <w:bCs/>
          <w:sz w:val="24"/>
          <w:szCs w:val="24"/>
        </w:rPr>
        <w:t>v průběhu let zvyšuje</w:t>
      </w:r>
      <w:r w:rsidRPr="007141B3">
        <w:rPr>
          <w:rFonts w:ascii="Times New Roman" w:hAnsi="Times New Roman" w:cs="Times New Roman"/>
          <w:sz w:val="24"/>
          <w:szCs w:val="24"/>
        </w:rPr>
        <w:t>, p</w:t>
      </w:r>
      <w:r w:rsidRPr="007141B3">
        <w:rPr>
          <w:rFonts w:ascii="Times New Roman" w:hAnsi="Times New Roman" w:cs="Times New Roman"/>
          <w:bCs/>
          <w:sz w:val="24"/>
          <w:szCs w:val="24"/>
        </w:rPr>
        <w:t xml:space="preserve">řesto </w:t>
      </w:r>
      <w:r>
        <w:rPr>
          <w:rFonts w:ascii="Times New Roman" w:hAnsi="Times New Roman" w:cs="Times New Roman"/>
          <w:bCs/>
          <w:sz w:val="24"/>
          <w:szCs w:val="24"/>
        </w:rPr>
        <w:t xml:space="preserve">se </w:t>
      </w:r>
      <w:r w:rsidRPr="007141B3">
        <w:rPr>
          <w:rFonts w:ascii="Times New Roman" w:hAnsi="Times New Roman" w:cs="Times New Roman"/>
          <w:bCs/>
          <w:sz w:val="24"/>
          <w:szCs w:val="24"/>
        </w:rPr>
        <w:t xml:space="preserve">však jejich </w:t>
      </w:r>
      <w:r w:rsidRPr="007141B3">
        <w:rPr>
          <w:rFonts w:ascii="Times New Roman" w:hAnsi="Times New Roman" w:cs="Times New Roman"/>
          <w:bCs/>
          <w:sz w:val="24"/>
          <w:szCs w:val="24"/>
        </w:rPr>
        <w:lastRenderedPageBreak/>
        <w:t xml:space="preserve">podíl na celkovém počtu </w:t>
      </w:r>
      <w:r>
        <w:rPr>
          <w:rFonts w:ascii="Times New Roman" w:hAnsi="Times New Roman" w:cs="Times New Roman"/>
          <w:bCs/>
          <w:sz w:val="24"/>
          <w:szCs w:val="24"/>
        </w:rPr>
        <w:t>bytů</w:t>
      </w:r>
      <w:r w:rsidRPr="007141B3">
        <w:rPr>
          <w:rFonts w:ascii="Times New Roman" w:hAnsi="Times New Roman" w:cs="Times New Roman"/>
          <w:bCs/>
          <w:sz w:val="24"/>
          <w:szCs w:val="24"/>
        </w:rPr>
        <w:t xml:space="preserve"> </w:t>
      </w:r>
      <w:r>
        <w:rPr>
          <w:rFonts w:ascii="Times New Roman" w:hAnsi="Times New Roman" w:cs="Times New Roman"/>
          <w:bCs/>
          <w:sz w:val="24"/>
          <w:szCs w:val="24"/>
        </w:rPr>
        <w:t>snížil</w:t>
      </w:r>
      <w:r w:rsidRPr="00D24E4E">
        <w:rPr>
          <w:rFonts w:ascii="Times New Roman" w:hAnsi="Times New Roman" w:cs="Times New Roman"/>
          <w:bCs/>
          <w:sz w:val="24"/>
          <w:szCs w:val="24"/>
        </w:rPr>
        <w:t xml:space="preserve">. </w:t>
      </w:r>
      <w:r w:rsidRPr="00D24E4E">
        <w:rPr>
          <w:rFonts w:ascii="Times New Roman" w:hAnsi="Times New Roman" w:cs="Times New Roman"/>
          <w:sz w:val="24"/>
          <w:szCs w:val="24"/>
        </w:rPr>
        <w:t xml:space="preserve">Tento vývoj ukazuje na pokračující trend relativního růstu neobydlených </w:t>
      </w:r>
      <w:r w:rsidRPr="00D24E4E">
        <w:rPr>
          <w:rFonts w:ascii="Times New Roman" w:hAnsi="Times New Roman" w:cs="Times New Roman"/>
          <w:iCs/>
          <w:sz w:val="24"/>
          <w:szCs w:val="24"/>
        </w:rPr>
        <w:t>bytů</w:t>
      </w:r>
      <w:r w:rsidRPr="00D24E4E">
        <w:rPr>
          <w:rFonts w:ascii="Times New Roman" w:hAnsi="Times New Roman" w:cs="Times New Roman"/>
          <w:sz w:val="24"/>
          <w:szCs w:val="24"/>
        </w:rPr>
        <w:t xml:space="preserve">, přestože </w:t>
      </w:r>
      <w:r w:rsidRPr="00D24E4E">
        <w:rPr>
          <w:rFonts w:ascii="Times New Roman" w:hAnsi="Times New Roman" w:cs="Times New Roman"/>
          <w:iCs/>
          <w:sz w:val="24"/>
          <w:szCs w:val="24"/>
        </w:rPr>
        <w:t xml:space="preserve">jejich </w:t>
      </w:r>
      <w:r w:rsidRPr="00D24E4E">
        <w:rPr>
          <w:rFonts w:ascii="Times New Roman" w:hAnsi="Times New Roman" w:cs="Times New Roman"/>
          <w:sz w:val="24"/>
          <w:szCs w:val="24"/>
        </w:rPr>
        <w:t>celkový počet na území města nadále roste.</w:t>
      </w:r>
      <w:r>
        <w:rPr>
          <w:rFonts w:ascii="Times New Roman" w:hAnsi="Times New Roman" w:cs="Times New Roman"/>
          <w:sz w:val="24"/>
          <w:szCs w:val="24"/>
        </w:rPr>
        <w:t xml:space="preserve"> </w:t>
      </w:r>
      <w:r w:rsidRPr="00D24E4E">
        <w:rPr>
          <w:rFonts w:ascii="Times New Roman" w:hAnsi="Times New Roman" w:cs="Times New Roman"/>
          <w:bCs/>
          <w:iCs/>
          <w:sz w:val="24"/>
          <w:szCs w:val="24"/>
        </w:rPr>
        <w:t>Největší podíl obydlených bytů</w:t>
      </w:r>
      <w:r w:rsidRPr="00D24E4E">
        <w:rPr>
          <w:rFonts w:ascii="Times New Roman" w:hAnsi="Times New Roman" w:cs="Times New Roman"/>
          <w:iCs/>
          <w:sz w:val="24"/>
          <w:szCs w:val="24"/>
        </w:rPr>
        <w:t xml:space="preserve"> byl v Olomouci v roce 2021 vlastněn </w:t>
      </w:r>
      <w:r w:rsidRPr="00D24E4E">
        <w:rPr>
          <w:rFonts w:ascii="Times New Roman" w:hAnsi="Times New Roman" w:cs="Times New Roman"/>
          <w:bCs/>
          <w:iCs/>
          <w:sz w:val="24"/>
          <w:szCs w:val="24"/>
        </w:rPr>
        <w:t xml:space="preserve">ve spoluvlastnictví vlastníků bytů (68,3 %) </w:t>
      </w:r>
      <w:r w:rsidRPr="00D24E4E">
        <w:rPr>
          <w:rFonts w:ascii="Times New Roman" w:hAnsi="Times New Roman" w:cs="Times New Roman"/>
          <w:iCs/>
          <w:sz w:val="24"/>
          <w:szCs w:val="24"/>
        </w:rPr>
        <w:t>a ve vlastnictví fyzických osob (25,1 %).</w:t>
      </w:r>
      <w:r>
        <w:rPr>
          <w:rFonts w:ascii="Times New Roman" w:hAnsi="Times New Roman" w:cs="Times New Roman"/>
          <w:iCs/>
          <w:sz w:val="24"/>
          <w:szCs w:val="24"/>
        </w:rPr>
        <w:t xml:space="preserve"> </w:t>
      </w:r>
      <w:r w:rsidR="007F76A1" w:rsidRPr="007F76A1">
        <w:rPr>
          <w:rFonts w:ascii="Times New Roman" w:hAnsi="Times New Roman" w:cs="Times New Roman"/>
          <w:sz w:val="24"/>
          <w:szCs w:val="24"/>
        </w:rPr>
        <w:t xml:space="preserve">Z hlediska počtu členů jedné domácnosti se promítá trend tzv. </w:t>
      </w:r>
      <w:proofErr w:type="spellStart"/>
      <w:r w:rsidR="007F76A1" w:rsidRPr="007F76A1">
        <w:rPr>
          <w:rFonts w:ascii="Times New Roman" w:hAnsi="Times New Roman" w:cs="Times New Roman"/>
          <w:sz w:val="24"/>
          <w:szCs w:val="24"/>
        </w:rPr>
        <w:t>singles</w:t>
      </w:r>
      <w:proofErr w:type="spellEnd"/>
      <w:r w:rsidR="007F76A1" w:rsidRPr="007F76A1">
        <w:rPr>
          <w:rFonts w:ascii="Times New Roman" w:hAnsi="Times New Roman" w:cs="Times New Roman"/>
          <w:sz w:val="24"/>
          <w:szCs w:val="24"/>
        </w:rPr>
        <w:t xml:space="preserve"> bydlení, tedy p</w:t>
      </w:r>
      <w:r w:rsidRPr="007F76A1">
        <w:rPr>
          <w:rFonts w:ascii="Times New Roman" w:hAnsi="Times New Roman" w:cs="Times New Roman"/>
          <w:sz w:val="24"/>
          <w:szCs w:val="24"/>
        </w:rPr>
        <w:t>růměrný počet osob</w:t>
      </w:r>
      <w:r w:rsidRPr="00D24E4E">
        <w:rPr>
          <w:rFonts w:ascii="Times New Roman" w:hAnsi="Times New Roman" w:cs="Times New Roman"/>
          <w:sz w:val="24"/>
          <w:szCs w:val="24"/>
        </w:rPr>
        <w:t xml:space="preserve"> na jednu domácnost se snižuje, nejčastěji v jednom bytě v Olomouci žije jedna (40 %) anebo dvě osoby (30,9 %), v roce 2021 byl průměrný počet osob na jeden byt 2,1</w:t>
      </w:r>
      <w:r>
        <w:rPr>
          <w:rFonts w:ascii="Times New Roman" w:hAnsi="Times New Roman" w:cs="Times New Roman"/>
          <w:sz w:val="24"/>
          <w:szCs w:val="24"/>
        </w:rPr>
        <w:t xml:space="preserve">. </w:t>
      </w:r>
      <w:r w:rsidRPr="00D24E4E">
        <w:rPr>
          <w:rFonts w:ascii="Times New Roman" w:hAnsi="Times New Roman" w:cs="Times New Roman"/>
          <w:sz w:val="24"/>
          <w:szCs w:val="24"/>
        </w:rPr>
        <w:t>Z hlediska počtu obydlených místností (včetně kuchyně) je největší podíl bytů v Olomouci se čtyřmi (34,7 %) a třemi (26,5 %) obytnými místnostmi.</w:t>
      </w:r>
      <w:r w:rsidR="007F76A1">
        <w:rPr>
          <w:rFonts w:ascii="Times New Roman" w:hAnsi="Times New Roman" w:cs="Times New Roman"/>
          <w:sz w:val="24"/>
          <w:szCs w:val="24"/>
        </w:rPr>
        <w:t xml:space="preserve"> </w:t>
      </w:r>
      <w:r w:rsidR="007F76A1" w:rsidRPr="007F76A1">
        <w:rPr>
          <w:rFonts w:ascii="Times New Roman" w:hAnsi="Times New Roman" w:cs="Times New Roman"/>
          <w:sz w:val="24"/>
          <w:szCs w:val="24"/>
        </w:rPr>
        <w:t>Průměrná plocha bytů v Olomouci byla v roce 2021 74,3</w:t>
      </w:r>
      <w:r w:rsidR="00CD50A8">
        <w:rPr>
          <w:rFonts w:ascii="Times New Roman" w:hAnsi="Times New Roman" w:cs="Times New Roman"/>
          <w:sz w:val="24"/>
          <w:szCs w:val="24"/>
        </w:rPr>
        <w:t xml:space="preserve"> </w:t>
      </w:r>
      <w:r w:rsidR="007F76A1" w:rsidRPr="007F76A1">
        <w:rPr>
          <w:rFonts w:ascii="Times New Roman" w:hAnsi="Times New Roman" w:cs="Times New Roman"/>
          <w:sz w:val="24"/>
          <w:szCs w:val="24"/>
        </w:rPr>
        <w:t>m</w:t>
      </w:r>
      <w:r w:rsidR="007F76A1" w:rsidRPr="007F76A1">
        <w:rPr>
          <w:rFonts w:ascii="Times New Roman" w:hAnsi="Times New Roman" w:cs="Times New Roman"/>
          <w:sz w:val="24"/>
          <w:szCs w:val="24"/>
          <w:vertAlign w:val="superscript"/>
        </w:rPr>
        <w:t>2</w:t>
      </w:r>
      <w:r w:rsidR="007F76A1" w:rsidRPr="00C53F99">
        <w:rPr>
          <w:b/>
        </w:rPr>
        <w:t>.</w:t>
      </w:r>
    </w:p>
    <w:bookmarkEnd w:id="1"/>
    <w:bookmarkEnd w:id="2"/>
    <w:p w:rsidR="00A6476C" w:rsidRDefault="00A6476C" w:rsidP="00A6476C">
      <w:pPr>
        <w:pStyle w:val="Nadpis3"/>
      </w:pPr>
      <w:r>
        <w:t>2.1.2 Trh práce a zaměstnanost</w:t>
      </w:r>
    </w:p>
    <w:p w:rsidR="00A6476C" w:rsidRDefault="00A6476C" w:rsidP="00D43196">
      <w:pPr>
        <w:spacing w:after="13" w:line="310" w:lineRule="auto"/>
        <w:ind w:left="-4" w:right="208" w:hanging="10"/>
        <w:jc w:val="both"/>
        <w:rPr>
          <w:color w:val="181717"/>
        </w:rPr>
      </w:pPr>
    </w:p>
    <w:p w:rsidR="00A6476C" w:rsidRDefault="00A606FB" w:rsidP="004A3002">
      <w:pPr>
        <w:spacing w:after="13"/>
        <w:ind w:left="-4" w:right="208" w:hanging="10"/>
        <w:rPr>
          <w:rFonts w:ascii="Times New Roman" w:hAnsi="Times New Roman" w:cs="Times New Roman"/>
          <w:sz w:val="24"/>
          <w:szCs w:val="24"/>
        </w:rPr>
      </w:pPr>
      <w:r w:rsidRPr="00A606FB">
        <w:rPr>
          <w:rFonts w:ascii="Times New Roman" w:hAnsi="Times New Roman" w:cs="Times New Roman"/>
          <w:color w:val="181717"/>
          <w:sz w:val="24"/>
          <w:szCs w:val="24"/>
        </w:rPr>
        <w:t xml:space="preserve">Co se týká ekonomické aktivity obyvatelstva za město Olomouc je možné za </w:t>
      </w:r>
      <w:r w:rsidRPr="00A606FB">
        <w:rPr>
          <w:rFonts w:ascii="Times New Roman" w:hAnsi="Times New Roman" w:cs="Times New Roman"/>
          <w:sz w:val="24"/>
          <w:szCs w:val="24"/>
        </w:rPr>
        <w:t xml:space="preserve">sledované období 2011–2021 (údaje z SLDB) konstatovat převážně pozitivní trend. Vzrostl počet ekonomicky aktivních obyvatel (z 51 667 na 57 875), rovněž počet zaměstnaných (včetně pracujících studentů a učňů; </w:t>
      </w:r>
      <w:proofErr w:type="gramStart"/>
      <w:r w:rsidRPr="00A606FB">
        <w:rPr>
          <w:rFonts w:ascii="Times New Roman" w:hAnsi="Times New Roman" w:cs="Times New Roman"/>
          <w:sz w:val="24"/>
          <w:szCs w:val="24"/>
        </w:rPr>
        <w:t>z 46 525</w:t>
      </w:r>
      <w:proofErr w:type="gramEnd"/>
      <w:r w:rsidRPr="00A606FB">
        <w:rPr>
          <w:rFonts w:ascii="Times New Roman" w:hAnsi="Times New Roman" w:cs="Times New Roman"/>
          <w:sz w:val="24"/>
          <w:szCs w:val="24"/>
        </w:rPr>
        <w:t xml:space="preserve"> na 55 095). Tento pozitivní trend byl způsoben zejména ekonomickou konjunkturou po většinu sledovaného období (pouze na jeho konci došlo k ekonomickému propadu kvůli </w:t>
      </w:r>
      <w:proofErr w:type="spellStart"/>
      <w:r w:rsidRPr="00A606FB">
        <w:rPr>
          <w:rFonts w:ascii="Times New Roman" w:hAnsi="Times New Roman" w:cs="Times New Roman"/>
          <w:sz w:val="24"/>
          <w:szCs w:val="24"/>
        </w:rPr>
        <w:t>covidové</w:t>
      </w:r>
      <w:proofErr w:type="spellEnd"/>
      <w:r w:rsidRPr="00A606FB">
        <w:rPr>
          <w:rFonts w:ascii="Times New Roman" w:hAnsi="Times New Roman" w:cs="Times New Roman"/>
          <w:sz w:val="24"/>
          <w:szCs w:val="24"/>
        </w:rPr>
        <w:t xml:space="preserve"> pandemii). Díky výše zmíněné ekonomické konjunktuře poklesl také počet nezaměstnaných (z 5 142 na 2 780). Z důvodu stárnutí populace však i přes ekonomickou konjunkturu a větší množství pracovních příležitostí narostl podíl ekonomicky neaktivních </w:t>
      </w:r>
      <w:proofErr w:type="gramStart"/>
      <w:r w:rsidRPr="00A606FB">
        <w:rPr>
          <w:rFonts w:ascii="Times New Roman" w:hAnsi="Times New Roman" w:cs="Times New Roman"/>
          <w:sz w:val="24"/>
          <w:szCs w:val="24"/>
        </w:rPr>
        <w:t>obyvatel (z 45 340</w:t>
      </w:r>
      <w:proofErr w:type="gramEnd"/>
      <w:r w:rsidRPr="00A606FB">
        <w:rPr>
          <w:rFonts w:ascii="Times New Roman" w:hAnsi="Times New Roman" w:cs="Times New Roman"/>
          <w:sz w:val="24"/>
          <w:szCs w:val="24"/>
        </w:rPr>
        <w:t xml:space="preserve"> na 47 027), což lze vzhledem k výše popsaným souvislostem považovat za trend negativní. Co se týče srovnání města Olomouc s městy podobné velikosti (Hradec Králové, Ústí nad Labem, Liberec, České Budějovice) za rok 2021, je na tom, co se týče celkové ekonomické aktivity obyvatelstva (množství potenciální pracovní síly) nejlépe, nejlépe je na tom rovněž v počtu zaměstnaných (včetně pracujících studentů a učňů). Naopak průměrná je Olomouc v počtu nezaměstnaných (3. pozice) a zcela nejhorší v počtu ekonomicky neaktivních obyvatel (5. pozice), což vypovídá o tom, že obyvatelstvo v Olomouci stárne rychleji než v ostatních srovnávaných městech. </w:t>
      </w:r>
    </w:p>
    <w:p w:rsidR="004A3002" w:rsidRPr="00A606FB" w:rsidRDefault="004A3002" w:rsidP="004A3002">
      <w:pPr>
        <w:spacing w:after="13"/>
        <w:ind w:left="-4" w:right="208" w:hanging="10"/>
        <w:rPr>
          <w:rFonts w:ascii="Times New Roman" w:hAnsi="Times New Roman" w:cs="Times New Roman"/>
          <w:sz w:val="24"/>
          <w:szCs w:val="24"/>
        </w:rPr>
      </w:pPr>
    </w:p>
    <w:p w:rsidR="00A606FB" w:rsidRDefault="00A606FB" w:rsidP="004A3002">
      <w:pPr>
        <w:spacing w:after="13"/>
        <w:ind w:left="-4" w:right="208" w:hanging="10"/>
        <w:rPr>
          <w:rFonts w:ascii="Times New Roman" w:hAnsi="Times New Roman" w:cs="Times New Roman"/>
          <w:sz w:val="24"/>
          <w:szCs w:val="24"/>
        </w:rPr>
      </w:pPr>
      <w:r w:rsidRPr="00A606FB">
        <w:rPr>
          <w:rFonts w:ascii="Times New Roman" w:hAnsi="Times New Roman" w:cs="Times New Roman"/>
          <w:sz w:val="24"/>
          <w:szCs w:val="24"/>
        </w:rPr>
        <w:t xml:space="preserve">V případě </w:t>
      </w:r>
      <w:r w:rsidRPr="00A606FB">
        <w:rPr>
          <w:rFonts w:ascii="Times New Roman" w:hAnsi="Times New Roman" w:cs="Times New Roman"/>
          <w:bCs/>
          <w:sz w:val="24"/>
          <w:szCs w:val="24"/>
        </w:rPr>
        <w:t>zaměstnaných podle odvětví ekonomických činností</w:t>
      </w:r>
      <w:r w:rsidRPr="00A606FB">
        <w:rPr>
          <w:rFonts w:ascii="Times New Roman" w:hAnsi="Times New Roman" w:cs="Times New Roman"/>
          <w:sz w:val="24"/>
          <w:szCs w:val="24"/>
        </w:rPr>
        <w:t xml:space="preserve"> za město Olomouc v letech 2011–2021 došlo díky výše zmíněné ekonomické konjunktuře (byť s určitým propadem na konci sledovaného období v důsledku </w:t>
      </w:r>
      <w:proofErr w:type="spellStart"/>
      <w:r w:rsidRPr="00A606FB">
        <w:rPr>
          <w:rFonts w:ascii="Times New Roman" w:hAnsi="Times New Roman" w:cs="Times New Roman"/>
          <w:sz w:val="24"/>
          <w:szCs w:val="24"/>
        </w:rPr>
        <w:t>covidové</w:t>
      </w:r>
      <w:proofErr w:type="spellEnd"/>
      <w:r w:rsidRPr="00A606FB">
        <w:rPr>
          <w:rFonts w:ascii="Times New Roman" w:hAnsi="Times New Roman" w:cs="Times New Roman"/>
          <w:sz w:val="24"/>
          <w:szCs w:val="24"/>
        </w:rPr>
        <w:t xml:space="preserve"> pandemie) k nárůstu počtu zaměstnaných ve všech klíčových sektorech</w:t>
      </w:r>
      <w:r>
        <w:rPr>
          <w:rFonts w:ascii="Times New Roman" w:hAnsi="Times New Roman" w:cs="Times New Roman"/>
          <w:sz w:val="24"/>
          <w:szCs w:val="24"/>
        </w:rPr>
        <w:t>.</w:t>
      </w:r>
    </w:p>
    <w:p w:rsidR="00A606FB" w:rsidRDefault="00A606FB" w:rsidP="00D43196">
      <w:pPr>
        <w:spacing w:after="13" w:line="310" w:lineRule="auto"/>
        <w:ind w:left="-4" w:right="208" w:hanging="10"/>
        <w:jc w:val="both"/>
        <w:rPr>
          <w:rFonts w:ascii="Times New Roman" w:hAnsi="Times New Roman" w:cs="Times New Roman"/>
          <w:sz w:val="24"/>
          <w:szCs w:val="24"/>
        </w:rPr>
      </w:pPr>
    </w:p>
    <w:p w:rsidR="00A606FB" w:rsidRDefault="00A606FB" w:rsidP="00A606FB">
      <w:pPr>
        <w:pStyle w:val="Titulek"/>
      </w:pPr>
      <w:bookmarkStart w:id="3" w:name="_Toc189230222"/>
      <w:r w:rsidRPr="005C0DB8">
        <w:rPr>
          <w:bCs/>
        </w:rPr>
        <w:lastRenderedPageBreak/>
        <w:t xml:space="preserve">Graf </w:t>
      </w:r>
      <w:r w:rsidR="005C0DB8" w:rsidRPr="005C0DB8">
        <w:rPr>
          <w:bCs/>
        </w:rPr>
        <w:t>4</w:t>
      </w:r>
      <w:r w:rsidRPr="005C0DB8">
        <w:rPr>
          <w:bCs/>
        </w:rPr>
        <w:t>:</w:t>
      </w:r>
      <w:r w:rsidRPr="005C0DB8">
        <w:t xml:space="preserve"> </w:t>
      </w:r>
      <w:r w:rsidRPr="00AB1D7C">
        <w:t>Zaměstnaní podle odvětví ekonomických činností ve městě Olomouc za období 2011–2021</w:t>
      </w:r>
      <w:bookmarkEnd w:id="3"/>
    </w:p>
    <w:p w:rsidR="00A606FB" w:rsidRPr="00A606FB" w:rsidRDefault="00A606FB" w:rsidP="00D43196">
      <w:pPr>
        <w:spacing w:after="13" w:line="310" w:lineRule="auto"/>
        <w:ind w:left="-4" w:right="208" w:hanging="10"/>
        <w:jc w:val="both"/>
        <w:rPr>
          <w:rFonts w:ascii="Times New Roman" w:hAnsi="Times New Roman" w:cs="Times New Roman"/>
          <w:color w:val="181717"/>
          <w:sz w:val="24"/>
          <w:szCs w:val="24"/>
        </w:rPr>
      </w:pPr>
      <w:r>
        <w:rPr>
          <w:noProof/>
          <w:color w:val="FF0000"/>
          <w:lang w:eastAsia="cs-CZ"/>
        </w:rPr>
        <w:drawing>
          <wp:inline distT="0" distB="0" distL="0" distR="0" wp14:anchorId="400E8660" wp14:editId="0845F9EE">
            <wp:extent cx="5760000" cy="2880000"/>
            <wp:effectExtent l="0" t="0" r="0" b="0"/>
            <wp:docPr id="668037827"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606FB" w:rsidRPr="005C0DB8" w:rsidRDefault="00A606FB" w:rsidP="00D43196">
      <w:pPr>
        <w:spacing w:after="13" w:line="310" w:lineRule="auto"/>
        <w:ind w:left="-4" w:right="208" w:hanging="10"/>
        <w:jc w:val="both"/>
        <w:rPr>
          <w:rFonts w:ascii="Times New Roman" w:hAnsi="Times New Roman" w:cs="Times New Roman"/>
          <w:i/>
          <w:sz w:val="20"/>
          <w:szCs w:val="20"/>
        </w:rPr>
      </w:pPr>
      <w:r w:rsidRPr="005C0DB8">
        <w:rPr>
          <w:rFonts w:ascii="Times New Roman" w:hAnsi="Times New Roman" w:cs="Times New Roman"/>
          <w:i/>
          <w:sz w:val="20"/>
          <w:szCs w:val="20"/>
        </w:rPr>
        <w:t xml:space="preserve">Zdroj: ČSÚ, Veřejná databáze, zpracování </w:t>
      </w:r>
      <w:proofErr w:type="spellStart"/>
      <w:r w:rsidRPr="005C0DB8">
        <w:rPr>
          <w:rFonts w:ascii="Times New Roman" w:hAnsi="Times New Roman" w:cs="Times New Roman"/>
          <w:i/>
          <w:sz w:val="20"/>
          <w:szCs w:val="20"/>
        </w:rPr>
        <w:t>BeePartner</w:t>
      </w:r>
      <w:proofErr w:type="spellEnd"/>
      <w:r w:rsidRPr="005C0DB8">
        <w:rPr>
          <w:rFonts w:ascii="Times New Roman" w:hAnsi="Times New Roman" w:cs="Times New Roman"/>
          <w:i/>
          <w:sz w:val="20"/>
          <w:szCs w:val="20"/>
        </w:rPr>
        <w:t xml:space="preserve"> a.s. (vlastní výběr, vlastní zpracování 2021)</w:t>
      </w:r>
    </w:p>
    <w:p w:rsidR="00A606FB" w:rsidRDefault="00A606FB" w:rsidP="00D43196">
      <w:pPr>
        <w:spacing w:after="13" w:line="310" w:lineRule="auto"/>
        <w:ind w:left="-4" w:right="208" w:hanging="10"/>
        <w:jc w:val="both"/>
        <w:rPr>
          <w:rFonts w:ascii="Times New Roman" w:hAnsi="Times New Roman" w:cs="Times New Roman"/>
          <w:sz w:val="20"/>
          <w:szCs w:val="20"/>
        </w:rPr>
      </w:pPr>
    </w:p>
    <w:p w:rsidR="004A3002" w:rsidRDefault="004A3002" w:rsidP="00D43196">
      <w:pPr>
        <w:spacing w:after="13" w:line="310" w:lineRule="auto"/>
        <w:ind w:left="-4" w:right="208" w:hanging="10"/>
        <w:jc w:val="both"/>
        <w:rPr>
          <w:rFonts w:ascii="Times New Roman" w:hAnsi="Times New Roman" w:cs="Times New Roman"/>
          <w:sz w:val="20"/>
          <w:szCs w:val="20"/>
        </w:rPr>
      </w:pPr>
    </w:p>
    <w:p w:rsidR="00A606FB" w:rsidRPr="00A606FB" w:rsidRDefault="00A606FB" w:rsidP="00A606FB">
      <w:pPr>
        <w:rPr>
          <w:rFonts w:ascii="Times New Roman" w:hAnsi="Times New Roman" w:cs="Times New Roman"/>
          <w:b/>
          <w:bCs/>
          <w:sz w:val="24"/>
          <w:szCs w:val="24"/>
        </w:rPr>
      </w:pPr>
      <w:r w:rsidRPr="00A606FB">
        <w:rPr>
          <w:rFonts w:ascii="Times New Roman" w:hAnsi="Times New Roman" w:cs="Times New Roman"/>
          <w:b/>
          <w:bCs/>
          <w:sz w:val="24"/>
          <w:szCs w:val="24"/>
        </w:rPr>
        <w:t>Významní zaměstnavatelé</w:t>
      </w:r>
    </w:p>
    <w:p w:rsidR="00A606FB" w:rsidRDefault="00A606FB" w:rsidP="004A3002">
      <w:pPr>
        <w:spacing w:after="13"/>
        <w:ind w:left="-4" w:right="208" w:hanging="10"/>
        <w:rPr>
          <w:rFonts w:ascii="Times New Roman" w:hAnsi="Times New Roman" w:cs="Times New Roman"/>
          <w:sz w:val="24"/>
          <w:szCs w:val="24"/>
        </w:rPr>
      </w:pPr>
      <w:r w:rsidRPr="00A606FB">
        <w:rPr>
          <w:rFonts w:ascii="Times New Roman" w:hAnsi="Times New Roman" w:cs="Times New Roman"/>
          <w:sz w:val="24"/>
          <w:szCs w:val="24"/>
        </w:rPr>
        <w:t xml:space="preserve">V městě Olomouc patřili v roce 2022 mezi </w:t>
      </w:r>
      <w:r w:rsidRPr="00A606FB">
        <w:rPr>
          <w:rFonts w:ascii="Times New Roman" w:hAnsi="Times New Roman" w:cs="Times New Roman"/>
          <w:bCs/>
          <w:sz w:val="24"/>
          <w:szCs w:val="24"/>
        </w:rPr>
        <w:t>nejvýznamnější zaměstnavatele</w:t>
      </w:r>
      <w:r w:rsidRPr="00A606FB">
        <w:rPr>
          <w:rFonts w:ascii="Times New Roman" w:hAnsi="Times New Roman" w:cs="Times New Roman"/>
          <w:sz w:val="24"/>
          <w:szCs w:val="24"/>
        </w:rPr>
        <w:t xml:space="preserve"> především Univerzita Palackého v Olomouci a Fakultní nemocnice Olomouc zaměstnávající v obou případech více než 4 000 zaměstnanců. Dalšími významnými zaměstnavateli s 500 a více zaměstnanci byli Olomoucký kraj, Statutární město Olomouc, M. L. S. Holice, s. r. o., John </w:t>
      </w:r>
      <w:proofErr w:type="spellStart"/>
      <w:r w:rsidRPr="00A606FB">
        <w:rPr>
          <w:rFonts w:ascii="Times New Roman" w:hAnsi="Times New Roman" w:cs="Times New Roman"/>
          <w:sz w:val="24"/>
          <w:szCs w:val="24"/>
        </w:rPr>
        <w:t>Crane</w:t>
      </w:r>
      <w:proofErr w:type="spellEnd"/>
      <w:r w:rsidRPr="00A606FB">
        <w:rPr>
          <w:rFonts w:ascii="Times New Roman" w:hAnsi="Times New Roman" w:cs="Times New Roman"/>
          <w:sz w:val="24"/>
          <w:szCs w:val="24"/>
        </w:rPr>
        <w:t xml:space="preserve">, a. s., </w:t>
      </w:r>
      <w:proofErr w:type="spellStart"/>
      <w:r w:rsidRPr="00A606FB">
        <w:rPr>
          <w:rFonts w:ascii="Times New Roman" w:hAnsi="Times New Roman" w:cs="Times New Roman"/>
          <w:sz w:val="24"/>
          <w:szCs w:val="24"/>
        </w:rPr>
        <w:t>Honeywell</w:t>
      </w:r>
      <w:proofErr w:type="spellEnd"/>
      <w:r w:rsidRPr="00A606FB">
        <w:rPr>
          <w:rFonts w:ascii="Times New Roman" w:hAnsi="Times New Roman" w:cs="Times New Roman"/>
          <w:sz w:val="24"/>
          <w:szCs w:val="24"/>
        </w:rPr>
        <w:t xml:space="preserve"> </w:t>
      </w:r>
      <w:proofErr w:type="spellStart"/>
      <w:r w:rsidRPr="00A606FB">
        <w:rPr>
          <w:rFonts w:ascii="Times New Roman" w:hAnsi="Times New Roman" w:cs="Times New Roman"/>
          <w:sz w:val="24"/>
          <w:szCs w:val="24"/>
        </w:rPr>
        <w:t>Aerospace</w:t>
      </w:r>
      <w:proofErr w:type="spellEnd"/>
      <w:r w:rsidRPr="00A606FB">
        <w:rPr>
          <w:rFonts w:ascii="Times New Roman" w:hAnsi="Times New Roman" w:cs="Times New Roman"/>
          <w:sz w:val="24"/>
          <w:szCs w:val="24"/>
        </w:rPr>
        <w:t xml:space="preserve"> Olomouc, s. r. o., Nestlé Česko, s. r.o., závod Zora a další. Za kategorii 250–499 zaměstnanců spadající stále do skupiny velkých podniků lze zmínit např. Olmu Olomouc a. s., </w:t>
      </w:r>
      <w:proofErr w:type="spellStart"/>
      <w:r w:rsidRPr="00A606FB">
        <w:rPr>
          <w:rFonts w:ascii="Times New Roman" w:hAnsi="Times New Roman" w:cs="Times New Roman"/>
          <w:sz w:val="24"/>
          <w:szCs w:val="24"/>
        </w:rPr>
        <w:t>Koyo</w:t>
      </w:r>
      <w:proofErr w:type="spellEnd"/>
      <w:r w:rsidRPr="00A606FB">
        <w:rPr>
          <w:rFonts w:ascii="Times New Roman" w:hAnsi="Times New Roman" w:cs="Times New Roman"/>
          <w:sz w:val="24"/>
          <w:szCs w:val="24"/>
        </w:rPr>
        <w:t xml:space="preserve"> </w:t>
      </w:r>
      <w:proofErr w:type="spellStart"/>
      <w:r w:rsidRPr="00A606FB">
        <w:rPr>
          <w:rFonts w:ascii="Times New Roman" w:hAnsi="Times New Roman" w:cs="Times New Roman"/>
          <w:sz w:val="24"/>
          <w:szCs w:val="24"/>
        </w:rPr>
        <w:t>Bearings</w:t>
      </w:r>
      <w:proofErr w:type="spellEnd"/>
      <w:r w:rsidRPr="00A606FB">
        <w:rPr>
          <w:rFonts w:ascii="Times New Roman" w:hAnsi="Times New Roman" w:cs="Times New Roman"/>
          <w:sz w:val="24"/>
          <w:szCs w:val="24"/>
        </w:rPr>
        <w:t xml:space="preserve"> Česká republika, s. r. o., Moru Moravia, a. s., Farmak, a. s., Gemo Olomouc, s. r. o., Skanska, a. s., a další</w:t>
      </w:r>
      <w:r>
        <w:rPr>
          <w:rFonts w:ascii="Times New Roman" w:hAnsi="Times New Roman" w:cs="Times New Roman"/>
          <w:sz w:val="24"/>
          <w:szCs w:val="24"/>
        </w:rPr>
        <w:t>.</w:t>
      </w:r>
    </w:p>
    <w:p w:rsidR="00A606FB" w:rsidRDefault="00A606FB" w:rsidP="00A606FB">
      <w:pPr>
        <w:spacing w:after="13" w:line="310" w:lineRule="auto"/>
        <w:ind w:left="-4" w:right="208" w:hanging="10"/>
        <w:jc w:val="both"/>
        <w:rPr>
          <w:rFonts w:ascii="Times New Roman" w:hAnsi="Times New Roman" w:cs="Times New Roman"/>
          <w:sz w:val="24"/>
          <w:szCs w:val="24"/>
        </w:rPr>
      </w:pPr>
    </w:p>
    <w:p w:rsidR="00A606FB" w:rsidRPr="00A606FB" w:rsidRDefault="00A606FB" w:rsidP="00A606FB">
      <w:pPr>
        <w:spacing w:after="13" w:line="310" w:lineRule="auto"/>
        <w:ind w:left="-4" w:right="208" w:hanging="10"/>
        <w:jc w:val="both"/>
        <w:rPr>
          <w:rFonts w:ascii="Times New Roman" w:hAnsi="Times New Roman" w:cs="Times New Roman"/>
          <w:b/>
          <w:sz w:val="24"/>
          <w:szCs w:val="24"/>
        </w:rPr>
      </w:pPr>
      <w:r w:rsidRPr="00A606FB">
        <w:rPr>
          <w:rFonts w:ascii="Times New Roman" w:hAnsi="Times New Roman" w:cs="Times New Roman"/>
          <w:b/>
          <w:sz w:val="24"/>
          <w:szCs w:val="24"/>
        </w:rPr>
        <w:t>Vývoj nezaměstnanosti</w:t>
      </w:r>
    </w:p>
    <w:p w:rsidR="00593263" w:rsidRDefault="00593263" w:rsidP="00593263">
      <w:pPr>
        <w:spacing w:after="13" w:line="310" w:lineRule="auto"/>
        <w:ind w:left="-4" w:right="208" w:hanging="10"/>
        <w:jc w:val="both"/>
        <w:rPr>
          <w:rFonts w:ascii="Times New Roman" w:hAnsi="Times New Roman" w:cs="Times New Roman"/>
          <w:bCs/>
          <w:sz w:val="24"/>
          <w:szCs w:val="24"/>
        </w:rPr>
      </w:pPr>
    </w:p>
    <w:p w:rsidR="00593263" w:rsidRDefault="00593263" w:rsidP="004A3002">
      <w:pPr>
        <w:spacing w:after="13"/>
        <w:ind w:left="-4" w:right="208" w:hanging="10"/>
        <w:rPr>
          <w:rFonts w:ascii="Times New Roman" w:hAnsi="Times New Roman" w:cs="Times New Roman"/>
          <w:sz w:val="24"/>
          <w:szCs w:val="24"/>
        </w:rPr>
      </w:pPr>
      <w:r w:rsidRPr="00593263">
        <w:rPr>
          <w:rFonts w:ascii="Times New Roman" w:hAnsi="Times New Roman" w:cs="Times New Roman"/>
          <w:bCs/>
          <w:sz w:val="24"/>
          <w:szCs w:val="24"/>
        </w:rPr>
        <w:t>Vývoj míry nezaměstnanosti</w:t>
      </w:r>
      <w:r w:rsidRPr="00593263">
        <w:rPr>
          <w:rFonts w:ascii="Times New Roman" w:hAnsi="Times New Roman" w:cs="Times New Roman"/>
          <w:sz w:val="24"/>
          <w:szCs w:val="24"/>
        </w:rPr>
        <w:t xml:space="preserve"> ve městě Olomouc za období 2017–2023 vykazoval pozitivní trend, jelikož došlo k jejímu snížení ze 4,1 % na 3,8 %. V porovnání s vybranými dalšími městy (Liberec, Hradec Králové, Ústí nad Labem a České Budějovice) však i přes snížení míry nezaměstnanosti došlo de facto ke zhoršení v případě města Olomouc</w:t>
      </w:r>
      <w:r>
        <w:rPr>
          <w:rFonts w:ascii="Times New Roman" w:hAnsi="Times New Roman" w:cs="Times New Roman"/>
          <w:sz w:val="24"/>
          <w:szCs w:val="24"/>
        </w:rPr>
        <w:t>.</w:t>
      </w:r>
    </w:p>
    <w:p w:rsidR="00593263" w:rsidRDefault="00593263" w:rsidP="00593263">
      <w:pPr>
        <w:spacing w:after="13" w:line="310" w:lineRule="auto"/>
        <w:ind w:left="-4" w:right="208" w:hanging="10"/>
        <w:jc w:val="both"/>
        <w:rPr>
          <w:rFonts w:ascii="Times New Roman" w:hAnsi="Times New Roman" w:cs="Times New Roman"/>
          <w:sz w:val="24"/>
          <w:szCs w:val="24"/>
        </w:rPr>
      </w:pPr>
    </w:p>
    <w:p w:rsidR="00923A40" w:rsidRDefault="00923A40" w:rsidP="00593263">
      <w:pPr>
        <w:spacing w:after="13" w:line="310" w:lineRule="auto"/>
        <w:ind w:left="-4" w:right="208" w:hanging="10"/>
        <w:jc w:val="both"/>
        <w:rPr>
          <w:rFonts w:ascii="Times New Roman" w:hAnsi="Times New Roman" w:cs="Times New Roman"/>
          <w:sz w:val="24"/>
          <w:szCs w:val="24"/>
        </w:rPr>
      </w:pPr>
    </w:p>
    <w:p w:rsidR="00923A40" w:rsidRDefault="00923A40" w:rsidP="00593263">
      <w:pPr>
        <w:spacing w:after="13" w:line="310" w:lineRule="auto"/>
        <w:ind w:left="-4" w:right="208" w:hanging="10"/>
        <w:jc w:val="both"/>
        <w:rPr>
          <w:rFonts w:ascii="Times New Roman" w:hAnsi="Times New Roman" w:cs="Times New Roman"/>
          <w:sz w:val="24"/>
          <w:szCs w:val="24"/>
        </w:rPr>
      </w:pPr>
    </w:p>
    <w:p w:rsidR="00923A40" w:rsidRDefault="00923A40" w:rsidP="00593263">
      <w:pPr>
        <w:spacing w:after="13" w:line="310" w:lineRule="auto"/>
        <w:ind w:left="-4" w:right="208" w:hanging="10"/>
        <w:jc w:val="both"/>
        <w:rPr>
          <w:rFonts w:ascii="Times New Roman" w:hAnsi="Times New Roman" w:cs="Times New Roman"/>
          <w:sz w:val="24"/>
          <w:szCs w:val="24"/>
        </w:rPr>
      </w:pPr>
    </w:p>
    <w:p w:rsidR="00923A40" w:rsidRDefault="00923A40" w:rsidP="00593263">
      <w:pPr>
        <w:spacing w:after="13" w:line="310" w:lineRule="auto"/>
        <w:ind w:left="-4" w:right="208" w:hanging="10"/>
        <w:jc w:val="both"/>
        <w:rPr>
          <w:rFonts w:ascii="Times New Roman" w:hAnsi="Times New Roman" w:cs="Times New Roman"/>
          <w:sz w:val="24"/>
          <w:szCs w:val="24"/>
        </w:rPr>
      </w:pPr>
    </w:p>
    <w:p w:rsidR="00923A40" w:rsidRDefault="00923A40" w:rsidP="00593263">
      <w:pPr>
        <w:spacing w:after="13" w:line="310" w:lineRule="auto"/>
        <w:ind w:left="-4" w:right="208" w:hanging="10"/>
        <w:jc w:val="both"/>
        <w:rPr>
          <w:rFonts w:ascii="Times New Roman" w:hAnsi="Times New Roman" w:cs="Times New Roman"/>
          <w:sz w:val="24"/>
          <w:szCs w:val="24"/>
        </w:rPr>
      </w:pPr>
    </w:p>
    <w:p w:rsidR="00923A40" w:rsidRDefault="00923A40" w:rsidP="00593263">
      <w:pPr>
        <w:spacing w:after="13" w:line="310" w:lineRule="auto"/>
        <w:ind w:left="-4" w:right="208" w:hanging="10"/>
        <w:jc w:val="both"/>
        <w:rPr>
          <w:rFonts w:ascii="Times New Roman" w:hAnsi="Times New Roman" w:cs="Times New Roman"/>
          <w:sz w:val="24"/>
          <w:szCs w:val="24"/>
        </w:rPr>
      </w:pPr>
    </w:p>
    <w:p w:rsidR="00593263" w:rsidRPr="005C0DB8" w:rsidRDefault="00593263" w:rsidP="00593263">
      <w:pPr>
        <w:spacing w:after="13" w:line="310" w:lineRule="auto"/>
        <w:ind w:left="-4" w:right="208" w:hanging="10"/>
        <w:jc w:val="both"/>
        <w:rPr>
          <w:rFonts w:ascii="Times New Roman" w:hAnsi="Times New Roman" w:cs="Times New Roman"/>
          <w:i/>
        </w:rPr>
      </w:pPr>
      <w:bookmarkStart w:id="4" w:name="_Toc189230223"/>
      <w:r w:rsidRPr="005C0DB8">
        <w:rPr>
          <w:rFonts w:ascii="Times New Roman" w:hAnsi="Times New Roman" w:cs="Times New Roman"/>
          <w:bCs/>
          <w:i/>
        </w:rPr>
        <w:lastRenderedPageBreak/>
        <w:t xml:space="preserve">Graf </w:t>
      </w:r>
      <w:r w:rsidR="005C0DB8" w:rsidRPr="005C0DB8">
        <w:rPr>
          <w:rFonts w:ascii="Times New Roman" w:hAnsi="Times New Roman" w:cs="Times New Roman"/>
          <w:bCs/>
          <w:i/>
        </w:rPr>
        <w:t>5</w:t>
      </w:r>
      <w:r w:rsidRPr="005C0DB8">
        <w:rPr>
          <w:rFonts w:ascii="Times New Roman" w:hAnsi="Times New Roman" w:cs="Times New Roman"/>
          <w:bCs/>
          <w:i/>
        </w:rPr>
        <w:t>:</w:t>
      </w:r>
      <w:r w:rsidRPr="005C0DB8">
        <w:rPr>
          <w:rFonts w:ascii="Times New Roman" w:hAnsi="Times New Roman" w:cs="Times New Roman"/>
          <w:i/>
        </w:rPr>
        <w:t xml:space="preserve"> Vývoj míry nezaměstnanosti SMOl v komparaci s vybranými obcemi</w:t>
      </w:r>
      <w:bookmarkEnd w:id="4"/>
      <w:r w:rsidR="009F064E">
        <w:rPr>
          <w:rFonts w:ascii="Times New Roman" w:hAnsi="Times New Roman" w:cs="Times New Roman"/>
          <w:i/>
        </w:rPr>
        <w:t xml:space="preserve"> v letech 2017-2023</w:t>
      </w:r>
    </w:p>
    <w:p w:rsidR="00593263" w:rsidRDefault="00593263" w:rsidP="00593263">
      <w:pPr>
        <w:spacing w:after="13" w:line="310" w:lineRule="auto"/>
        <w:ind w:left="-4" w:right="208" w:hanging="10"/>
        <w:jc w:val="both"/>
        <w:rPr>
          <w:rFonts w:ascii="Times New Roman" w:hAnsi="Times New Roman" w:cs="Times New Roman"/>
          <w:sz w:val="24"/>
          <w:szCs w:val="24"/>
        </w:rPr>
      </w:pPr>
      <w:r>
        <w:rPr>
          <w:noProof/>
          <w:lang w:eastAsia="cs-CZ"/>
        </w:rPr>
        <w:drawing>
          <wp:inline distT="0" distB="0" distL="0" distR="0" wp14:anchorId="04E7F9DE" wp14:editId="526966D4">
            <wp:extent cx="5760000" cy="2880000"/>
            <wp:effectExtent l="0" t="0" r="0" b="0"/>
            <wp:docPr id="92211890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93263" w:rsidRPr="005C0DB8" w:rsidRDefault="00593263" w:rsidP="00593263">
      <w:pPr>
        <w:spacing w:after="13" w:line="310" w:lineRule="auto"/>
        <w:ind w:left="-4" w:right="208" w:hanging="10"/>
        <w:jc w:val="both"/>
        <w:rPr>
          <w:rFonts w:ascii="Times New Roman" w:hAnsi="Times New Roman" w:cs="Times New Roman"/>
          <w:i/>
          <w:sz w:val="20"/>
          <w:szCs w:val="20"/>
        </w:rPr>
      </w:pPr>
      <w:r w:rsidRPr="005C0DB8">
        <w:rPr>
          <w:rFonts w:ascii="Times New Roman" w:hAnsi="Times New Roman" w:cs="Times New Roman"/>
          <w:i/>
          <w:sz w:val="20"/>
          <w:szCs w:val="20"/>
        </w:rPr>
        <w:t xml:space="preserve">Zdroj: ČSÚ, Veřejná databáze – statistiky, zpracování </w:t>
      </w:r>
      <w:proofErr w:type="spellStart"/>
      <w:r w:rsidRPr="005C0DB8">
        <w:rPr>
          <w:rFonts w:ascii="Times New Roman" w:hAnsi="Times New Roman" w:cs="Times New Roman"/>
          <w:i/>
          <w:sz w:val="20"/>
          <w:szCs w:val="20"/>
        </w:rPr>
        <w:t>BeePartner</w:t>
      </w:r>
      <w:proofErr w:type="spellEnd"/>
      <w:r w:rsidRPr="005C0DB8">
        <w:rPr>
          <w:rFonts w:ascii="Times New Roman" w:hAnsi="Times New Roman" w:cs="Times New Roman"/>
          <w:i/>
          <w:sz w:val="20"/>
          <w:szCs w:val="20"/>
        </w:rPr>
        <w:t xml:space="preserve"> a.s. (vlastní zpracování, 2023).</w:t>
      </w:r>
    </w:p>
    <w:p w:rsidR="00593263" w:rsidRDefault="00593263" w:rsidP="00593263">
      <w:pPr>
        <w:spacing w:after="13" w:line="310" w:lineRule="auto"/>
        <w:ind w:left="-4" w:right="208" w:hanging="10"/>
        <w:jc w:val="both"/>
        <w:rPr>
          <w:rFonts w:ascii="Times New Roman" w:hAnsi="Times New Roman" w:cs="Times New Roman"/>
          <w:sz w:val="20"/>
          <w:szCs w:val="20"/>
        </w:rPr>
      </w:pPr>
    </w:p>
    <w:p w:rsidR="00593263" w:rsidRDefault="00593263" w:rsidP="00593263">
      <w:pPr>
        <w:pStyle w:val="Nadpis3"/>
      </w:pPr>
      <w:r>
        <w:t>2.1.3 Vzdělávání</w:t>
      </w:r>
    </w:p>
    <w:p w:rsidR="00593263" w:rsidRDefault="00593263" w:rsidP="00593263">
      <w:pPr>
        <w:spacing w:after="13" w:line="310" w:lineRule="auto"/>
        <w:ind w:left="-4" w:right="208" w:hanging="10"/>
        <w:jc w:val="both"/>
        <w:rPr>
          <w:rFonts w:ascii="Times New Roman" w:hAnsi="Times New Roman" w:cs="Times New Roman"/>
          <w:sz w:val="20"/>
          <w:szCs w:val="20"/>
        </w:rPr>
      </w:pPr>
    </w:p>
    <w:p w:rsidR="009F064E" w:rsidRPr="009F064E" w:rsidRDefault="009F064E" w:rsidP="004A3002">
      <w:pPr>
        <w:spacing w:after="13"/>
        <w:ind w:left="-4" w:right="208" w:hanging="10"/>
        <w:rPr>
          <w:rFonts w:ascii="Times New Roman" w:hAnsi="Times New Roman" w:cs="Times New Roman"/>
          <w:sz w:val="24"/>
          <w:szCs w:val="24"/>
        </w:rPr>
      </w:pPr>
      <w:r w:rsidRPr="009F064E">
        <w:rPr>
          <w:rFonts w:ascii="Times New Roman" w:hAnsi="Times New Roman" w:cs="Times New Roman"/>
          <w:sz w:val="24"/>
          <w:szCs w:val="24"/>
        </w:rPr>
        <w:t>Na území SMOl působí dětské skupiny, které poskytují péči pro děti ve věkové kategorii do tří let. Jejich postavení je komplementární s mateřskými školami a významně pomáhají a ulehčují rodičům v péči o tuto skupinu dětí a rovněž napomáhají rodičům s návratem do </w:t>
      </w:r>
      <w:r w:rsidR="00244ADF">
        <w:rPr>
          <w:rFonts w:ascii="Times New Roman" w:hAnsi="Times New Roman" w:cs="Times New Roman"/>
          <w:sz w:val="24"/>
          <w:szCs w:val="24"/>
        </w:rPr>
        <w:t xml:space="preserve">zaměstnání. Na území města Olomouce </w:t>
      </w:r>
      <w:proofErr w:type="gramStart"/>
      <w:r w:rsidR="00244ADF">
        <w:rPr>
          <w:rFonts w:ascii="Times New Roman" w:hAnsi="Times New Roman" w:cs="Times New Roman"/>
          <w:sz w:val="24"/>
          <w:szCs w:val="24"/>
        </w:rPr>
        <w:t>působilo k 12</w:t>
      </w:r>
      <w:proofErr w:type="gramEnd"/>
      <w:r w:rsidR="00244ADF">
        <w:rPr>
          <w:rFonts w:ascii="Times New Roman" w:hAnsi="Times New Roman" w:cs="Times New Roman"/>
          <w:sz w:val="24"/>
          <w:szCs w:val="24"/>
        </w:rPr>
        <w:t>. 5. 2025 celkem 45</w:t>
      </w:r>
      <w:r w:rsidRPr="009F064E">
        <w:rPr>
          <w:rFonts w:ascii="Times New Roman" w:hAnsi="Times New Roman" w:cs="Times New Roman"/>
          <w:sz w:val="24"/>
          <w:szCs w:val="24"/>
        </w:rPr>
        <w:t xml:space="preserve"> dětských skupin, jejichž kapacita je </w:t>
      </w:r>
      <w:r w:rsidR="00244ADF">
        <w:rPr>
          <w:rFonts w:ascii="Times New Roman" w:hAnsi="Times New Roman" w:cs="Times New Roman"/>
          <w:sz w:val="24"/>
          <w:szCs w:val="24"/>
        </w:rPr>
        <w:t>636</w:t>
      </w:r>
      <w:r w:rsidRPr="009F064E">
        <w:rPr>
          <w:rFonts w:ascii="Times New Roman" w:hAnsi="Times New Roman" w:cs="Times New Roman"/>
          <w:sz w:val="24"/>
          <w:szCs w:val="24"/>
        </w:rPr>
        <w:t xml:space="preserve"> míst.</w:t>
      </w:r>
      <w:r>
        <w:rPr>
          <w:rFonts w:ascii="Times New Roman" w:hAnsi="Times New Roman" w:cs="Times New Roman"/>
          <w:sz w:val="24"/>
          <w:szCs w:val="24"/>
        </w:rPr>
        <w:t xml:space="preserve"> </w:t>
      </w:r>
      <w:r w:rsidRPr="009F064E">
        <w:rPr>
          <w:rFonts w:ascii="Times New Roman" w:hAnsi="Times New Roman" w:cs="Times New Roman"/>
          <w:sz w:val="24"/>
          <w:szCs w:val="24"/>
        </w:rPr>
        <w:t>Z nich 2 dětské skupiny provozuje příspěvková organizace Sociální služby města Olomouce, a to Dětskou skupinu Ječmínek s kapacitou 20 míst a Dětskou skupinu Kaštánek s kapacitou 12 míst.</w:t>
      </w:r>
    </w:p>
    <w:p w:rsidR="009F064E" w:rsidRDefault="009F064E" w:rsidP="004A3002">
      <w:pPr>
        <w:spacing w:after="13"/>
        <w:ind w:left="-4" w:right="208" w:hanging="10"/>
        <w:rPr>
          <w:rFonts w:ascii="Times New Roman" w:hAnsi="Times New Roman" w:cs="Times New Roman"/>
          <w:sz w:val="24"/>
          <w:szCs w:val="24"/>
        </w:rPr>
      </w:pPr>
    </w:p>
    <w:p w:rsidR="00593263" w:rsidRDefault="00593263" w:rsidP="004A3002">
      <w:pPr>
        <w:spacing w:after="13"/>
        <w:ind w:left="-4" w:right="208" w:hanging="10"/>
        <w:rPr>
          <w:rFonts w:ascii="Times New Roman" w:hAnsi="Times New Roman" w:cs="Times New Roman"/>
          <w:bCs/>
          <w:sz w:val="24"/>
          <w:szCs w:val="24"/>
        </w:rPr>
      </w:pPr>
      <w:r w:rsidRPr="00593263">
        <w:rPr>
          <w:rFonts w:ascii="Times New Roman" w:hAnsi="Times New Roman" w:cs="Times New Roman"/>
          <w:sz w:val="24"/>
          <w:szCs w:val="24"/>
        </w:rPr>
        <w:t xml:space="preserve">Statutární město Olomouc je zřizovatelem 49 mateřských škol. </w:t>
      </w:r>
      <w:r w:rsidRPr="00593263">
        <w:rPr>
          <w:rFonts w:ascii="Times New Roman" w:hAnsi="Times New Roman" w:cs="Times New Roman"/>
          <w:bCs/>
          <w:sz w:val="24"/>
          <w:szCs w:val="24"/>
        </w:rPr>
        <w:t>Počet dětí zapsaných do těchto mateřských škol však za posledních deset let vykazuje klesající trend</w:t>
      </w:r>
      <w:r>
        <w:rPr>
          <w:rFonts w:ascii="Times New Roman" w:hAnsi="Times New Roman" w:cs="Times New Roman"/>
          <w:bCs/>
          <w:sz w:val="24"/>
          <w:szCs w:val="24"/>
        </w:rPr>
        <w:t xml:space="preserve">. </w:t>
      </w:r>
    </w:p>
    <w:p w:rsidR="00593263" w:rsidRPr="005C0DB8" w:rsidRDefault="00593263" w:rsidP="00593263">
      <w:pPr>
        <w:pStyle w:val="Titulek"/>
      </w:pPr>
      <w:bookmarkStart w:id="5" w:name="_Toc189230234"/>
      <w:r w:rsidRPr="005C0DB8">
        <w:rPr>
          <w:bCs/>
        </w:rPr>
        <w:lastRenderedPageBreak/>
        <w:t xml:space="preserve">Graf </w:t>
      </w:r>
      <w:r w:rsidR="005C0DB8" w:rsidRPr="005C0DB8">
        <w:rPr>
          <w:bCs/>
        </w:rPr>
        <w:t>6</w:t>
      </w:r>
      <w:r w:rsidRPr="005C0DB8">
        <w:rPr>
          <w:bCs/>
        </w:rPr>
        <w:t>:</w:t>
      </w:r>
      <w:r w:rsidRPr="005C0DB8">
        <w:t xml:space="preserve"> Počet žáků v mateřských školách zřizovaných SMOl 2013/2023</w:t>
      </w:r>
      <w:bookmarkEnd w:id="5"/>
    </w:p>
    <w:p w:rsidR="00593263" w:rsidRDefault="00593263" w:rsidP="00593263">
      <w:pPr>
        <w:spacing w:after="13" w:line="310" w:lineRule="auto"/>
        <w:ind w:left="-4" w:right="208" w:hanging="10"/>
        <w:jc w:val="both"/>
        <w:rPr>
          <w:rFonts w:ascii="Times New Roman" w:hAnsi="Times New Roman" w:cs="Times New Roman"/>
          <w:sz w:val="20"/>
          <w:szCs w:val="20"/>
        </w:rPr>
      </w:pPr>
      <w:r w:rsidRPr="001D0A3C">
        <w:rPr>
          <w:noProof/>
          <w:lang w:eastAsia="cs-CZ"/>
        </w:rPr>
        <w:drawing>
          <wp:inline distT="0" distB="0" distL="0" distR="0" wp14:anchorId="1270B97E" wp14:editId="0988D44B">
            <wp:extent cx="5760000" cy="2880000"/>
            <wp:effectExtent l="0" t="0" r="0" b="0"/>
            <wp:docPr id="1344243565"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93263" w:rsidRPr="00593263" w:rsidRDefault="00593263" w:rsidP="00593263">
      <w:pPr>
        <w:rPr>
          <w:rFonts w:ascii="Times New Roman" w:hAnsi="Times New Roman" w:cs="Times New Roman"/>
          <w:i/>
          <w:iCs/>
          <w:sz w:val="20"/>
          <w:szCs w:val="20"/>
        </w:rPr>
      </w:pPr>
      <w:r w:rsidRPr="00593263">
        <w:rPr>
          <w:rFonts w:ascii="Times New Roman" w:hAnsi="Times New Roman" w:cs="Times New Roman"/>
          <w:i/>
          <w:iCs/>
          <w:sz w:val="20"/>
          <w:szCs w:val="20"/>
        </w:rPr>
        <w:t>Zdroj: SMOl</w:t>
      </w:r>
    </w:p>
    <w:p w:rsidR="00593263" w:rsidRDefault="003775E9" w:rsidP="004A3002">
      <w:pPr>
        <w:spacing w:after="13"/>
        <w:ind w:left="-4" w:right="208" w:hanging="10"/>
        <w:rPr>
          <w:rFonts w:ascii="Times New Roman" w:hAnsi="Times New Roman" w:cs="Times New Roman"/>
          <w:bCs/>
          <w:sz w:val="24"/>
          <w:szCs w:val="24"/>
        </w:rPr>
      </w:pPr>
      <w:r w:rsidRPr="003775E9">
        <w:rPr>
          <w:rFonts w:ascii="Times New Roman" w:hAnsi="Times New Roman" w:cs="Times New Roman"/>
          <w:sz w:val="24"/>
          <w:szCs w:val="24"/>
        </w:rPr>
        <w:t xml:space="preserve">Zatímco ve školním roce </w:t>
      </w:r>
      <w:r w:rsidRPr="003775E9">
        <w:rPr>
          <w:rFonts w:ascii="Times New Roman" w:hAnsi="Times New Roman" w:cs="Times New Roman"/>
          <w:bCs/>
          <w:sz w:val="24"/>
          <w:szCs w:val="24"/>
        </w:rPr>
        <w:t>2022/2023</w:t>
      </w:r>
      <w:r w:rsidRPr="003775E9">
        <w:rPr>
          <w:rFonts w:ascii="Times New Roman" w:hAnsi="Times New Roman" w:cs="Times New Roman"/>
          <w:sz w:val="24"/>
          <w:szCs w:val="24"/>
        </w:rPr>
        <w:t xml:space="preserve"> bylo v mateřských </w:t>
      </w:r>
      <w:r w:rsidRPr="003775E9">
        <w:rPr>
          <w:rFonts w:ascii="Times New Roman" w:hAnsi="Times New Roman" w:cs="Times New Roman"/>
          <w:bCs/>
          <w:sz w:val="24"/>
          <w:szCs w:val="24"/>
        </w:rPr>
        <w:t>školách zapsáno 3 434 dětí, celková kapacita mateřských škol zřizovaných SMOl v roce 2022 dosahovala 3 813 míst</w:t>
      </w:r>
      <w:r w:rsidRPr="003775E9">
        <w:rPr>
          <w:rFonts w:ascii="Times New Roman" w:hAnsi="Times New Roman" w:cs="Times New Roman"/>
          <w:sz w:val="24"/>
          <w:szCs w:val="24"/>
        </w:rPr>
        <w:t xml:space="preserve">. </w:t>
      </w:r>
      <w:r w:rsidR="00955A4E" w:rsidRPr="00955A4E">
        <w:rPr>
          <w:rFonts w:ascii="Times New Roman" w:hAnsi="Times New Roman" w:cs="Times New Roman"/>
          <w:sz w:val="24"/>
          <w:szCs w:val="24"/>
        </w:rPr>
        <w:t>Uvedená rezerva v kapacitě mateřských škol je mírně zavádějící. Ve skutečnosti je kapacita téměř naplněna. Rozdíl je hlavně v přijatých dětech, které ke dni přijetí nedosáhly 3 let věku a děti s podpůrným opatřením, za které se dle vyhlášky o mateřské škole může počet dětí snížit až o pět dětí ve třídě. Naplněnost mateřských škol je stabilně vysoká. Snahou zřizovatele je podle možností dále navyšovat jejich kapacitu, aby došlo k uspokojení co největšího počtu žadatelů o umístění dítěte do mateřské školy. Navyšováním kapacity mateřských škol současně vytváří zřizovatel podmínky pro snížení počtu dětí ve třídách. Celková kapacita mateřských škol v Olomouci včetně mateřských škol zřizovaných jinými zřizovateli ve školním roce 2023/2024 činila 4 585 míst</w:t>
      </w:r>
      <w:r w:rsidR="00955A4E" w:rsidRPr="00744DF7">
        <w:rPr>
          <w:rFonts w:cstheme="minorHAnsi"/>
        </w:rPr>
        <w:t xml:space="preserve">. </w:t>
      </w:r>
      <w:r>
        <w:rPr>
          <w:rFonts w:ascii="Times New Roman" w:hAnsi="Times New Roman" w:cs="Times New Roman"/>
          <w:sz w:val="24"/>
          <w:szCs w:val="24"/>
        </w:rPr>
        <w:t>I přes to v roce 2023/2024 nebylo přijato 244 dětí</w:t>
      </w:r>
      <w:r w:rsidRPr="003775E9">
        <w:rPr>
          <w:rFonts w:ascii="Times New Roman" w:hAnsi="Times New Roman" w:cs="Times New Roman"/>
          <w:sz w:val="24"/>
          <w:szCs w:val="24"/>
        </w:rPr>
        <w:t xml:space="preserve">. </w:t>
      </w:r>
    </w:p>
    <w:p w:rsidR="003775E9" w:rsidRDefault="003775E9" w:rsidP="004A3002">
      <w:pPr>
        <w:spacing w:after="13"/>
        <w:ind w:left="-4" w:right="208" w:hanging="10"/>
        <w:rPr>
          <w:rFonts w:ascii="Times New Roman" w:hAnsi="Times New Roman" w:cs="Times New Roman"/>
          <w:bCs/>
          <w:sz w:val="24"/>
          <w:szCs w:val="24"/>
        </w:rPr>
      </w:pPr>
    </w:p>
    <w:p w:rsidR="003775E9" w:rsidRPr="003775E9" w:rsidRDefault="003775E9" w:rsidP="004A3002">
      <w:pPr>
        <w:rPr>
          <w:rFonts w:ascii="Times New Roman" w:hAnsi="Times New Roman" w:cs="Times New Roman"/>
          <w:sz w:val="24"/>
          <w:szCs w:val="24"/>
        </w:rPr>
      </w:pPr>
      <w:r w:rsidRPr="003775E9">
        <w:rPr>
          <w:rFonts w:ascii="Times New Roman" w:hAnsi="Times New Roman" w:cs="Times New Roman"/>
          <w:bCs/>
          <w:sz w:val="24"/>
          <w:szCs w:val="24"/>
        </w:rPr>
        <w:t>Počet základních škol</w:t>
      </w:r>
      <w:r>
        <w:rPr>
          <w:rFonts w:ascii="Times New Roman" w:hAnsi="Times New Roman" w:cs="Times New Roman"/>
          <w:sz w:val="24"/>
          <w:szCs w:val="24"/>
        </w:rPr>
        <w:t xml:space="preserve"> zřizovaných s</w:t>
      </w:r>
      <w:r w:rsidRPr="003775E9">
        <w:rPr>
          <w:rFonts w:ascii="Times New Roman" w:hAnsi="Times New Roman" w:cs="Times New Roman"/>
          <w:sz w:val="24"/>
          <w:szCs w:val="24"/>
        </w:rPr>
        <w:t>tatutárním městem Olomouc zůstává stabilně na </w:t>
      </w:r>
      <w:r w:rsidRPr="003775E9">
        <w:rPr>
          <w:rFonts w:ascii="Times New Roman" w:hAnsi="Times New Roman" w:cs="Times New Roman"/>
          <w:bCs/>
          <w:sz w:val="24"/>
          <w:szCs w:val="24"/>
        </w:rPr>
        <w:t>hodnotě 25</w:t>
      </w:r>
      <w:r w:rsidRPr="003775E9">
        <w:rPr>
          <w:rFonts w:ascii="Times New Roman" w:hAnsi="Times New Roman" w:cs="Times New Roman"/>
          <w:sz w:val="24"/>
          <w:szCs w:val="24"/>
        </w:rPr>
        <w:t xml:space="preserve"> od roku 2013. </w:t>
      </w:r>
      <w:r w:rsidRPr="003775E9">
        <w:rPr>
          <w:rFonts w:ascii="Times New Roman" w:hAnsi="Times New Roman" w:cs="Times New Roman"/>
          <w:bCs/>
          <w:sz w:val="24"/>
          <w:szCs w:val="24"/>
        </w:rPr>
        <w:t>Počet žáků v těchto školách nicméně postupně narůstá</w:t>
      </w:r>
      <w:r w:rsidRPr="003775E9">
        <w:rPr>
          <w:rFonts w:ascii="Times New Roman" w:hAnsi="Times New Roman" w:cs="Times New Roman"/>
          <w:sz w:val="24"/>
          <w:szCs w:val="24"/>
        </w:rPr>
        <w:t xml:space="preserve">. Z původních 7 556 žáků v roce 2013/2014 se jejich počet zvýšil na </w:t>
      </w:r>
      <w:r w:rsidRPr="003775E9">
        <w:rPr>
          <w:rFonts w:ascii="Times New Roman" w:hAnsi="Times New Roman" w:cs="Times New Roman"/>
          <w:bCs/>
          <w:sz w:val="24"/>
          <w:szCs w:val="24"/>
        </w:rPr>
        <w:t>9 283 ve školním roce 2022/2023</w:t>
      </w:r>
      <w:r w:rsidRPr="003775E9">
        <w:rPr>
          <w:rFonts w:ascii="Times New Roman" w:hAnsi="Times New Roman" w:cs="Times New Roman"/>
          <w:sz w:val="24"/>
          <w:szCs w:val="24"/>
        </w:rPr>
        <w:t xml:space="preserve">, přičemž od roku 2018/2019 se udržuje okolo hodnoty 9 000. Tento růst lze do jisté míry přičíst zvyšujícímu se počtu obyvatel v ORP Olomouc. Kapacita základních škol dosáhla vrcholu 12 279 míst ve školním roce 2020/2021, jako možná reakce na předchozí nárůst počtu žáků, ale v následujících letech byla upravena na 10 642 míst v roce 2022/2023. </w:t>
      </w:r>
    </w:p>
    <w:p w:rsidR="003775E9" w:rsidRPr="005C0DB8" w:rsidRDefault="003775E9" w:rsidP="003775E9">
      <w:pPr>
        <w:pStyle w:val="Titulek"/>
      </w:pPr>
      <w:bookmarkStart w:id="6" w:name="_Toc189230235"/>
      <w:r w:rsidRPr="005C0DB8">
        <w:rPr>
          <w:bCs/>
        </w:rPr>
        <w:lastRenderedPageBreak/>
        <w:t xml:space="preserve">Graf </w:t>
      </w:r>
      <w:r w:rsidR="005C0DB8" w:rsidRPr="005C0DB8">
        <w:rPr>
          <w:bCs/>
        </w:rPr>
        <w:t>7</w:t>
      </w:r>
      <w:r w:rsidRPr="005C0DB8">
        <w:rPr>
          <w:bCs/>
        </w:rPr>
        <w:t>:</w:t>
      </w:r>
      <w:r w:rsidRPr="005C0DB8">
        <w:t xml:space="preserve"> Počet žáků v základních školách zřizovaných SMOI 2013/2023</w:t>
      </w:r>
      <w:bookmarkEnd w:id="6"/>
    </w:p>
    <w:p w:rsidR="003775E9" w:rsidRDefault="003775E9" w:rsidP="003775E9">
      <w:pPr>
        <w:spacing w:after="13"/>
        <w:ind w:left="-4" w:right="208" w:hanging="10"/>
        <w:jc w:val="both"/>
        <w:rPr>
          <w:rFonts w:ascii="Times New Roman" w:hAnsi="Times New Roman" w:cs="Times New Roman"/>
          <w:sz w:val="24"/>
          <w:szCs w:val="24"/>
        </w:rPr>
      </w:pPr>
      <w:r w:rsidRPr="00901EDD">
        <w:rPr>
          <w:noProof/>
          <w:lang w:eastAsia="cs-CZ"/>
        </w:rPr>
        <w:drawing>
          <wp:inline distT="0" distB="0" distL="0" distR="0" wp14:anchorId="50437D53" wp14:editId="482BADE5">
            <wp:extent cx="5760000" cy="2880000"/>
            <wp:effectExtent l="0" t="0" r="0" b="0"/>
            <wp:docPr id="2042949992"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775E9" w:rsidRPr="003775E9" w:rsidRDefault="003775E9" w:rsidP="003775E9">
      <w:pPr>
        <w:rPr>
          <w:rFonts w:ascii="Times New Roman" w:hAnsi="Times New Roman" w:cs="Times New Roman"/>
          <w:i/>
          <w:iCs/>
          <w:sz w:val="20"/>
          <w:szCs w:val="20"/>
        </w:rPr>
      </w:pPr>
      <w:r w:rsidRPr="003775E9">
        <w:rPr>
          <w:rFonts w:ascii="Times New Roman" w:hAnsi="Times New Roman" w:cs="Times New Roman"/>
          <w:i/>
          <w:iCs/>
          <w:sz w:val="20"/>
          <w:szCs w:val="20"/>
        </w:rPr>
        <w:t>Zdroj: SMOl</w:t>
      </w:r>
    </w:p>
    <w:p w:rsidR="003775E9" w:rsidRDefault="003775E9" w:rsidP="004A3002">
      <w:pPr>
        <w:spacing w:after="13"/>
        <w:ind w:left="-4" w:right="208" w:hanging="10"/>
        <w:rPr>
          <w:rFonts w:ascii="Times New Roman" w:hAnsi="Times New Roman" w:cs="Times New Roman"/>
          <w:sz w:val="24"/>
          <w:szCs w:val="24"/>
        </w:rPr>
      </w:pPr>
      <w:r w:rsidRPr="003775E9">
        <w:rPr>
          <w:rFonts w:ascii="Times New Roman" w:hAnsi="Times New Roman" w:cs="Times New Roman"/>
          <w:sz w:val="24"/>
          <w:szCs w:val="24"/>
        </w:rPr>
        <w:t>Celkový počet žáků středních škol (včetně učilišť) se významně zvýšil, což odpovídá změnám demografických trendů na přelomu milénia a v první dekádě tohoto století. Celkový počet žáků od školního roku 2017/2018 vzrost téměř o pětinu, na současných 9</w:t>
      </w:r>
      <w:r w:rsidR="007E7A31">
        <w:rPr>
          <w:rFonts w:ascii="Times New Roman" w:hAnsi="Times New Roman" w:cs="Times New Roman"/>
          <w:sz w:val="24"/>
          <w:szCs w:val="24"/>
        </w:rPr>
        <w:t> </w:t>
      </w:r>
      <w:r w:rsidRPr="003775E9">
        <w:rPr>
          <w:rFonts w:ascii="Times New Roman" w:hAnsi="Times New Roman" w:cs="Times New Roman"/>
          <w:sz w:val="24"/>
          <w:szCs w:val="24"/>
        </w:rPr>
        <w:t>294 žáků denního studia.</w:t>
      </w:r>
      <w:r>
        <w:rPr>
          <w:rFonts w:ascii="Times New Roman" w:hAnsi="Times New Roman" w:cs="Times New Roman"/>
          <w:sz w:val="24"/>
          <w:szCs w:val="24"/>
        </w:rPr>
        <w:t xml:space="preserve"> </w:t>
      </w:r>
      <w:r w:rsidRPr="003775E9">
        <w:rPr>
          <w:rFonts w:ascii="Times New Roman" w:hAnsi="Times New Roman" w:cs="Times New Roman"/>
          <w:sz w:val="24"/>
          <w:szCs w:val="24"/>
        </w:rPr>
        <w:t>Zájem je především o obory s maturitou, na kterých v současné době studuje více než 82 % žáků, celkový nárůst počtu žáků byl tedy patrný právě u maturitních oborů. Klesl naopak podíl žáků navštěvujících</w:t>
      </w:r>
      <w:r w:rsidR="007E7A31">
        <w:rPr>
          <w:rFonts w:ascii="Times New Roman" w:hAnsi="Times New Roman" w:cs="Times New Roman"/>
          <w:sz w:val="24"/>
          <w:szCs w:val="24"/>
        </w:rPr>
        <w:t xml:space="preserve"> gymnázia všech typů (4leté, 6leté i 8</w:t>
      </w:r>
      <w:r w:rsidRPr="003775E9">
        <w:rPr>
          <w:rFonts w:ascii="Times New Roman" w:hAnsi="Times New Roman" w:cs="Times New Roman"/>
          <w:sz w:val="24"/>
          <w:szCs w:val="24"/>
        </w:rPr>
        <w:t>leté, včetně vícejazyčných) na celkovém počtu žáků studujících obory zakončené maturitní zkouškou. Výrazně klesl také zájem o dálkové studium</w:t>
      </w:r>
      <w:r>
        <w:rPr>
          <w:rFonts w:ascii="Times New Roman" w:hAnsi="Times New Roman" w:cs="Times New Roman"/>
          <w:sz w:val="24"/>
          <w:szCs w:val="24"/>
        </w:rPr>
        <w:t xml:space="preserve">. </w:t>
      </w:r>
    </w:p>
    <w:p w:rsidR="003775E9" w:rsidRDefault="003775E9" w:rsidP="004A3002">
      <w:pPr>
        <w:spacing w:after="13"/>
        <w:ind w:left="-4" w:right="208" w:hanging="10"/>
        <w:rPr>
          <w:rFonts w:ascii="Times New Roman" w:hAnsi="Times New Roman" w:cs="Times New Roman"/>
          <w:sz w:val="24"/>
          <w:szCs w:val="24"/>
        </w:rPr>
      </w:pPr>
    </w:p>
    <w:p w:rsidR="003775E9" w:rsidRDefault="005C0DB8" w:rsidP="004A3002">
      <w:pPr>
        <w:spacing w:after="13"/>
        <w:ind w:left="-4" w:right="208" w:hanging="10"/>
        <w:rPr>
          <w:rFonts w:ascii="Times New Roman" w:hAnsi="Times New Roman" w:cs="Times New Roman"/>
          <w:sz w:val="24"/>
          <w:szCs w:val="24"/>
        </w:rPr>
      </w:pPr>
      <w:r w:rsidRPr="005C0DB8">
        <w:rPr>
          <w:rFonts w:ascii="Times New Roman" w:hAnsi="Times New Roman" w:cs="Times New Roman"/>
          <w:sz w:val="24"/>
          <w:szCs w:val="24"/>
        </w:rPr>
        <w:t xml:space="preserve">V Olomouci působí dvě vysoké školy – Univerzita Palackého (UPOL) a Moravská vysoká škola Olomouc. </w:t>
      </w:r>
      <w:r w:rsidRPr="005C0DB8">
        <w:rPr>
          <w:rFonts w:ascii="Times New Roman" w:hAnsi="Times New Roman" w:cs="Times New Roman"/>
          <w:bCs/>
          <w:sz w:val="24"/>
          <w:szCs w:val="24"/>
        </w:rPr>
        <w:t>V letech 2017 až 2023 se počet absolventů vysokých škol v Olomouci vyznačoval proměnlivým trendem</w:t>
      </w:r>
      <w:r>
        <w:rPr>
          <w:rFonts w:ascii="Times New Roman" w:hAnsi="Times New Roman" w:cs="Times New Roman"/>
          <w:bCs/>
          <w:sz w:val="24"/>
          <w:szCs w:val="24"/>
        </w:rPr>
        <w:t>, jak dokazuje graf níže</w:t>
      </w:r>
      <w:r w:rsidRPr="005C0DB8">
        <w:rPr>
          <w:rFonts w:ascii="Times New Roman" w:hAnsi="Times New Roman" w:cs="Times New Roman"/>
          <w:sz w:val="24"/>
          <w:szCs w:val="24"/>
        </w:rPr>
        <w:t>.</w:t>
      </w:r>
    </w:p>
    <w:p w:rsidR="005C0DB8" w:rsidRPr="005C0DB8" w:rsidRDefault="005C0DB8" w:rsidP="005C0DB8">
      <w:pPr>
        <w:pStyle w:val="Titulek"/>
      </w:pPr>
      <w:bookmarkStart w:id="7" w:name="_Toc189230236"/>
      <w:r w:rsidRPr="005C0DB8">
        <w:rPr>
          <w:bCs/>
        </w:rPr>
        <w:t>Graf 8:</w:t>
      </w:r>
      <w:r w:rsidRPr="005C0DB8">
        <w:t xml:space="preserve"> Počet absolventů vysokých škol v Olomouci v letech 2017–2023</w:t>
      </w:r>
      <w:bookmarkEnd w:id="7"/>
    </w:p>
    <w:p w:rsidR="005C0DB8" w:rsidRDefault="005C0DB8" w:rsidP="003775E9">
      <w:pPr>
        <w:spacing w:after="13"/>
        <w:ind w:left="-4" w:right="208" w:hanging="10"/>
        <w:jc w:val="both"/>
        <w:rPr>
          <w:rFonts w:ascii="Times New Roman" w:hAnsi="Times New Roman" w:cs="Times New Roman"/>
          <w:sz w:val="24"/>
          <w:szCs w:val="24"/>
        </w:rPr>
      </w:pPr>
      <w:r>
        <w:rPr>
          <w:noProof/>
          <w:lang w:eastAsia="cs-CZ"/>
        </w:rPr>
        <w:drawing>
          <wp:inline distT="0" distB="0" distL="0" distR="0" wp14:anchorId="31E1C2A6" wp14:editId="3CF51CC4">
            <wp:extent cx="5760000" cy="2880000"/>
            <wp:effectExtent l="0" t="0" r="0" b="0"/>
            <wp:docPr id="663729852"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C0DB8" w:rsidRPr="005C0DB8" w:rsidRDefault="005C0DB8" w:rsidP="003775E9">
      <w:pPr>
        <w:spacing w:after="13"/>
        <w:ind w:left="-4" w:right="208" w:hanging="10"/>
        <w:jc w:val="both"/>
        <w:rPr>
          <w:rFonts w:ascii="Times New Roman" w:hAnsi="Times New Roman" w:cs="Times New Roman"/>
          <w:i/>
          <w:sz w:val="20"/>
          <w:szCs w:val="20"/>
        </w:rPr>
      </w:pPr>
      <w:r w:rsidRPr="005C0DB8">
        <w:rPr>
          <w:rFonts w:ascii="Times New Roman" w:hAnsi="Times New Roman" w:cs="Times New Roman"/>
          <w:i/>
          <w:sz w:val="20"/>
          <w:szCs w:val="20"/>
        </w:rPr>
        <w:lastRenderedPageBreak/>
        <w:t>Zdroj: Středisko vzdělávací politiky (2023)</w:t>
      </w:r>
    </w:p>
    <w:p w:rsidR="00593263" w:rsidRPr="00593263" w:rsidRDefault="00593263" w:rsidP="00593263">
      <w:pPr>
        <w:spacing w:after="13" w:line="310" w:lineRule="auto"/>
        <w:ind w:left="-4" w:right="208" w:hanging="10"/>
        <w:jc w:val="both"/>
        <w:rPr>
          <w:rFonts w:ascii="Times New Roman" w:hAnsi="Times New Roman" w:cs="Times New Roman"/>
          <w:sz w:val="20"/>
          <w:szCs w:val="20"/>
        </w:rPr>
      </w:pPr>
    </w:p>
    <w:p w:rsidR="00471E06" w:rsidRDefault="00471E06" w:rsidP="00471E06">
      <w:pPr>
        <w:pStyle w:val="Nadpis2"/>
      </w:pPr>
      <w:r>
        <w:t xml:space="preserve">2.2 SWOT analýza </w:t>
      </w:r>
    </w:p>
    <w:p w:rsidR="00471E06" w:rsidRDefault="00471E06" w:rsidP="00471E06">
      <w:pPr>
        <w:pStyle w:val="Odstavecseseznamem"/>
        <w:ind w:left="0"/>
        <w:rPr>
          <w:rFonts w:ascii="Times New Roman" w:hAnsi="Times New Roman" w:cs="Times New Roman"/>
          <w:sz w:val="24"/>
          <w:szCs w:val="24"/>
        </w:rPr>
      </w:pPr>
    </w:p>
    <w:p w:rsidR="00471E06" w:rsidRDefault="00D80C26" w:rsidP="004A3002">
      <w:pPr>
        <w:pStyle w:val="Odstavecseseznamem"/>
        <w:ind w:left="0"/>
        <w:rPr>
          <w:rFonts w:ascii="Times New Roman" w:hAnsi="Times New Roman" w:cs="Times New Roman"/>
          <w:sz w:val="24"/>
          <w:szCs w:val="24"/>
        </w:rPr>
      </w:pPr>
      <w:r>
        <w:rPr>
          <w:rFonts w:ascii="Times New Roman" w:hAnsi="Times New Roman" w:cs="Times New Roman"/>
          <w:sz w:val="24"/>
          <w:szCs w:val="24"/>
        </w:rPr>
        <w:t>Jelikož návrhová část koncepce prorodinné politiky vychází z navrženého členění dle Metodiky rodinné politiky na krajské a místní úrovni</w:t>
      </w:r>
      <w:r>
        <w:rPr>
          <w:rStyle w:val="Znakapoznpodarou"/>
          <w:rFonts w:ascii="Times New Roman" w:hAnsi="Times New Roman"/>
          <w:sz w:val="24"/>
          <w:szCs w:val="24"/>
        </w:rPr>
        <w:footnoteReference w:id="5"/>
      </w:r>
      <w:r>
        <w:rPr>
          <w:rFonts w:ascii="Times New Roman" w:hAnsi="Times New Roman" w:cs="Times New Roman"/>
          <w:sz w:val="24"/>
          <w:szCs w:val="24"/>
        </w:rPr>
        <w:t xml:space="preserve">, nově byly zpracovány dílčí SWOT analýzy za jednotlivé tyto oblasti, abychom získali co nejpřesnější data. SWOT analýzy byly zpracovány v rámci pracovní skupiny </w:t>
      </w:r>
      <w:r w:rsidR="00CC2D17">
        <w:rPr>
          <w:rFonts w:ascii="Times New Roman" w:hAnsi="Times New Roman" w:cs="Times New Roman"/>
          <w:sz w:val="24"/>
          <w:szCs w:val="24"/>
        </w:rPr>
        <w:t>pro</w:t>
      </w:r>
      <w:r>
        <w:rPr>
          <w:rFonts w:ascii="Times New Roman" w:hAnsi="Times New Roman" w:cs="Times New Roman"/>
          <w:sz w:val="24"/>
          <w:szCs w:val="24"/>
        </w:rPr>
        <w:t>rodinné politiky</w:t>
      </w:r>
      <w:r w:rsidR="00080C28">
        <w:rPr>
          <w:rFonts w:ascii="Times New Roman" w:hAnsi="Times New Roman" w:cs="Times New Roman"/>
          <w:sz w:val="24"/>
          <w:szCs w:val="24"/>
        </w:rPr>
        <w:t xml:space="preserve"> a jsou uveřejněny na webu rodinné politiky města</w:t>
      </w:r>
      <w:r w:rsidR="00080C28">
        <w:rPr>
          <w:rStyle w:val="Znakapoznpodarou"/>
          <w:rFonts w:ascii="Times New Roman" w:hAnsi="Times New Roman"/>
          <w:sz w:val="24"/>
          <w:szCs w:val="24"/>
        </w:rPr>
        <w:footnoteReference w:id="6"/>
      </w:r>
      <w:r>
        <w:rPr>
          <w:rFonts w:ascii="Times New Roman" w:hAnsi="Times New Roman" w:cs="Times New Roman"/>
          <w:sz w:val="24"/>
          <w:szCs w:val="24"/>
        </w:rPr>
        <w:t>.</w:t>
      </w:r>
    </w:p>
    <w:p w:rsidR="00D80C26" w:rsidRDefault="00436728" w:rsidP="00436728">
      <w:pPr>
        <w:pStyle w:val="Nadpis3"/>
      </w:pPr>
      <w:r>
        <w:t>2.2.1 SWOT analýza – oblast služeb pro rodiny</w:t>
      </w:r>
    </w:p>
    <w:p w:rsidR="00436728" w:rsidRDefault="00436728" w:rsidP="00436728">
      <w:pPr>
        <w:spacing w:after="0"/>
      </w:pPr>
    </w:p>
    <w:p w:rsidR="00436728" w:rsidRDefault="00436728" w:rsidP="00436728">
      <w:pPr>
        <w:rPr>
          <w:rFonts w:ascii="Times New Roman" w:hAnsi="Times New Roman" w:cs="Times New Roman"/>
          <w:sz w:val="24"/>
          <w:szCs w:val="24"/>
        </w:rPr>
      </w:pPr>
      <w:r w:rsidRPr="00436728">
        <w:rPr>
          <w:rFonts w:ascii="Times New Roman" w:hAnsi="Times New Roman" w:cs="Times New Roman"/>
          <w:sz w:val="24"/>
          <w:szCs w:val="24"/>
        </w:rPr>
        <w:t>V</w:t>
      </w:r>
      <w:r>
        <w:rPr>
          <w:rFonts w:ascii="Times New Roman" w:hAnsi="Times New Roman" w:cs="Times New Roman"/>
          <w:sz w:val="24"/>
          <w:szCs w:val="24"/>
        </w:rPr>
        <w:t> </w:t>
      </w:r>
      <w:r w:rsidRPr="00436728">
        <w:rPr>
          <w:rFonts w:ascii="Times New Roman" w:hAnsi="Times New Roman" w:cs="Times New Roman"/>
          <w:sz w:val="24"/>
          <w:szCs w:val="24"/>
        </w:rPr>
        <w:t>ob</w:t>
      </w:r>
      <w:r>
        <w:rPr>
          <w:rFonts w:ascii="Times New Roman" w:hAnsi="Times New Roman" w:cs="Times New Roman"/>
          <w:sz w:val="24"/>
          <w:szCs w:val="24"/>
        </w:rPr>
        <w:t xml:space="preserve">lasti služeb pro rodiny mezi </w:t>
      </w:r>
      <w:r w:rsidRPr="00436728">
        <w:rPr>
          <w:rFonts w:ascii="Times New Roman" w:hAnsi="Times New Roman" w:cs="Times New Roman"/>
          <w:b/>
          <w:sz w:val="24"/>
          <w:szCs w:val="24"/>
        </w:rPr>
        <w:t>silnými stránkami</w:t>
      </w:r>
      <w:r>
        <w:rPr>
          <w:rFonts w:ascii="Times New Roman" w:hAnsi="Times New Roman" w:cs="Times New Roman"/>
          <w:sz w:val="24"/>
          <w:szCs w:val="24"/>
        </w:rPr>
        <w:t xml:space="preserve"> dominuje Fond pomoci olomouckým dětem, široká nabídka volnočasových aktivit, fungující kluby pro seniory a existence Family Pointů na území města Olomouce. Fond pomoci olomouckým dětem i Family Pointy byly </w:t>
      </w:r>
      <w:r w:rsidR="007E7A31">
        <w:rPr>
          <w:rFonts w:ascii="Times New Roman" w:hAnsi="Times New Roman" w:cs="Times New Roman"/>
          <w:sz w:val="24"/>
          <w:szCs w:val="24"/>
        </w:rPr>
        <w:t xml:space="preserve">současně </w:t>
      </w:r>
      <w:r w:rsidR="001B4E9C">
        <w:rPr>
          <w:rFonts w:ascii="Times New Roman" w:hAnsi="Times New Roman" w:cs="Times New Roman"/>
          <w:sz w:val="24"/>
          <w:szCs w:val="24"/>
        </w:rPr>
        <w:t>kladně hodnoceny</w:t>
      </w:r>
      <w:r w:rsidR="007E7A31">
        <w:rPr>
          <w:rFonts w:ascii="Times New Roman" w:hAnsi="Times New Roman" w:cs="Times New Roman"/>
          <w:sz w:val="24"/>
          <w:szCs w:val="24"/>
        </w:rPr>
        <w:t xml:space="preserve"> i v anketním šetření</w:t>
      </w:r>
      <w:r>
        <w:rPr>
          <w:rFonts w:ascii="Times New Roman" w:hAnsi="Times New Roman" w:cs="Times New Roman"/>
          <w:sz w:val="24"/>
          <w:szCs w:val="24"/>
        </w:rPr>
        <w:t xml:space="preserve"> u rodin s dětmi. </w:t>
      </w:r>
    </w:p>
    <w:p w:rsidR="00436728" w:rsidRDefault="001B4E9C" w:rsidP="00436728">
      <w:pPr>
        <w:rPr>
          <w:rFonts w:ascii="Times New Roman" w:hAnsi="Times New Roman" w:cs="Times New Roman"/>
          <w:sz w:val="24"/>
          <w:szCs w:val="24"/>
        </w:rPr>
      </w:pPr>
      <w:r w:rsidRPr="001B4E9C">
        <w:rPr>
          <w:rFonts w:ascii="Times New Roman" w:hAnsi="Times New Roman" w:cs="Times New Roman"/>
          <w:b/>
          <w:sz w:val="24"/>
          <w:szCs w:val="24"/>
        </w:rPr>
        <w:t>Slabou stránku</w:t>
      </w:r>
      <w:r>
        <w:rPr>
          <w:rFonts w:ascii="Times New Roman" w:hAnsi="Times New Roman" w:cs="Times New Roman"/>
          <w:sz w:val="24"/>
          <w:szCs w:val="24"/>
        </w:rPr>
        <w:t xml:space="preserve"> pracovní skupina vidí zejména v absenci bezpečného prostoru pro neorganizované volnočasové aktivity mládeže, čímž se shoduje i s názory rodičů adolescentů.</w:t>
      </w:r>
      <w:r w:rsidR="00256A66">
        <w:rPr>
          <w:rFonts w:ascii="Times New Roman" w:hAnsi="Times New Roman" w:cs="Times New Roman"/>
          <w:sz w:val="24"/>
          <w:szCs w:val="24"/>
        </w:rPr>
        <w:t xml:space="preserve"> </w:t>
      </w:r>
    </w:p>
    <w:p w:rsidR="001B4E9C" w:rsidRDefault="001B4E9C" w:rsidP="004A3002">
      <w:pPr>
        <w:rPr>
          <w:rFonts w:ascii="Times New Roman" w:hAnsi="Times New Roman" w:cs="Times New Roman"/>
          <w:sz w:val="24"/>
          <w:szCs w:val="24"/>
        </w:rPr>
      </w:pPr>
      <w:r w:rsidRPr="001B4E9C">
        <w:rPr>
          <w:rFonts w:ascii="Times New Roman" w:hAnsi="Times New Roman" w:cs="Times New Roman"/>
          <w:b/>
          <w:sz w:val="24"/>
          <w:szCs w:val="24"/>
        </w:rPr>
        <w:t>Příležitostí</w:t>
      </w:r>
      <w:r>
        <w:rPr>
          <w:rFonts w:ascii="Times New Roman" w:hAnsi="Times New Roman" w:cs="Times New Roman"/>
          <w:sz w:val="24"/>
          <w:szCs w:val="24"/>
        </w:rPr>
        <w:t xml:space="preserve"> může být možnost finanční podpory neformálních aktivit mládeže např. prostřednictvím „</w:t>
      </w:r>
      <w:proofErr w:type="spellStart"/>
      <w:r>
        <w:rPr>
          <w:rFonts w:ascii="Times New Roman" w:hAnsi="Times New Roman" w:cs="Times New Roman"/>
          <w:sz w:val="24"/>
          <w:szCs w:val="24"/>
        </w:rPr>
        <w:t>mikrograntů</w:t>
      </w:r>
      <w:proofErr w:type="spellEnd"/>
      <w:r>
        <w:rPr>
          <w:rFonts w:ascii="Times New Roman" w:hAnsi="Times New Roman" w:cs="Times New Roman"/>
          <w:sz w:val="24"/>
          <w:szCs w:val="24"/>
        </w:rPr>
        <w:t>“, které by mládež mohla využít dle svých představ na aktivity, ze kterých by měli prospěch i spolužáci, kamarádi.</w:t>
      </w:r>
      <w:r w:rsidR="00080C28">
        <w:rPr>
          <w:rFonts w:ascii="Times New Roman" w:hAnsi="Times New Roman" w:cs="Times New Roman"/>
          <w:sz w:val="24"/>
          <w:szCs w:val="24"/>
        </w:rPr>
        <w:t xml:space="preserve"> Další příležitostí v oblasti služeb pro rodiny by mohlo být propojení života seniorů a mladých rodin (komunitní a mezigenerační akce) a rozvoj komunitního centra Pešek. </w:t>
      </w:r>
    </w:p>
    <w:p w:rsidR="00080C28" w:rsidRDefault="00080C28" w:rsidP="004A3002">
      <w:pPr>
        <w:rPr>
          <w:rFonts w:ascii="Times New Roman" w:hAnsi="Times New Roman" w:cs="Times New Roman"/>
          <w:sz w:val="24"/>
          <w:szCs w:val="24"/>
        </w:rPr>
      </w:pPr>
      <w:r w:rsidRPr="00080C28">
        <w:rPr>
          <w:rFonts w:ascii="Times New Roman" w:hAnsi="Times New Roman" w:cs="Times New Roman"/>
          <w:b/>
          <w:sz w:val="24"/>
          <w:szCs w:val="24"/>
        </w:rPr>
        <w:t>Hrozba</w:t>
      </w:r>
      <w:r>
        <w:rPr>
          <w:rFonts w:ascii="Times New Roman" w:hAnsi="Times New Roman" w:cs="Times New Roman"/>
          <w:sz w:val="24"/>
          <w:szCs w:val="24"/>
        </w:rPr>
        <w:t xml:space="preserve"> je spatřována zejména v nedostatečném personálním zajištění služeb, nedostatečném finančním ohodnocení pracovníků v organizacích, kteří pak odchází do jiného sektoru, nedostatečná politická</w:t>
      </w:r>
      <w:r w:rsidR="004604BD">
        <w:rPr>
          <w:rFonts w:ascii="Times New Roman" w:hAnsi="Times New Roman" w:cs="Times New Roman"/>
          <w:sz w:val="24"/>
          <w:szCs w:val="24"/>
        </w:rPr>
        <w:t xml:space="preserve"> </w:t>
      </w:r>
      <w:r>
        <w:rPr>
          <w:rFonts w:ascii="Times New Roman" w:hAnsi="Times New Roman" w:cs="Times New Roman"/>
          <w:sz w:val="24"/>
          <w:szCs w:val="24"/>
        </w:rPr>
        <w:t xml:space="preserve">podpora a nedostatek finančních prostředků na činnost prorodinných organizací a tedy i prorodinných aktivit. </w:t>
      </w:r>
      <w:r w:rsidR="00E84F16" w:rsidRPr="00E84F16">
        <w:rPr>
          <w:rFonts w:ascii="Times New Roman" w:hAnsi="Times New Roman" w:cs="Times New Roman"/>
          <w:sz w:val="24"/>
          <w:szCs w:val="24"/>
        </w:rPr>
        <w:t>Nedostatek financí, zázemí pro dlouhodobou práci s rodinami uprchlíků z Ukrajiny.</w:t>
      </w:r>
    </w:p>
    <w:p w:rsidR="001B4E9C" w:rsidRDefault="00080C28" w:rsidP="00080C28">
      <w:pPr>
        <w:pStyle w:val="Nadpis3"/>
      </w:pPr>
      <w:r>
        <w:t>2.2.2 SWOT analýza – slaďování</w:t>
      </w:r>
    </w:p>
    <w:p w:rsidR="00080C28" w:rsidRDefault="00080C28" w:rsidP="00080C28">
      <w:pPr>
        <w:spacing w:after="0"/>
        <w:rPr>
          <w:rFonts w:ascii="Times New Roman" w:hAnsi="Times New Roman" w:cs="Times New Roman"/>
          <w:sz w:val="24"/>
          <w:szCs w:val="24"/>
        </w:rPr>
      </w:pPr>
    </w:p>
    <w:p w:rsidR="00080C28" w:rsidRDefault="00080C28" w:rsidP="00080C28">
      <w:pPr>
        <w:spacing w:after="0"/>
        <w:rPr>
          <w:rFonts w:ascii="Times New Roman" w:hAnsi="Times New Roman" w:cs="Times New Roman"/>
          <w:sz w:val="24"/>
          <w:szCs w:val="24"/>
        </w:rPr>
      </w:pPr>
      <w:r>
        <w:rPr>
          <w:rFonts w:ascii="Times New Roman" w:hAnsi="Times New Roman" w:cs="Times New Roman"/>
          <w:sz w:val="24"/>
          <w:szCs w:val="24"/>
        </w:rPr>
        <w:t xml:space="preserve">V oblasti trhu práce a harmonizace rodinného/osobního </w:t>
      </w:r>
      <w:r w:rsidR="001E2481">
        <w:rPr>
          <w:rFonts w:ascii="Times New Roman" w:hAnsi="Times New Roman" w:cs="Times New Roman"/>
          <w:sz w:val="24"/>
          <w:szCs w:val="24"/>
        </w:rPr>
        <w:t xml:space="preserve">života vidí pracovní skupina jako </w:t>
      </w:r>
      <w:r w:rsidR="001E2481" w:rsidRPr="001E2481">
        <w:rPr>
          <w:rFonts w:ascii="Times New Roman" w:hAnsi="Times New Roman" w:cs="Times New Roman"/>
          <w:b/>
          <w:sz w:val="24"/>
          <w:szCs w:val="24"/>
        </w:rPr>
        <w:t>silnou stránku</w:t>
      </w:r>
      <w:r w:rsidR="001E2481">
        <w:rPr>
          <w:rFonts w:ascii="Times New Roman" w:hAnsi="Times New Roman" w:cs="Times New Roman"/>
          <w:sz w:val="24"/>
          <w:szCs w:val="24"/>
        </w:rPr>
        <w:t xml:space="preserve"> zejména dobrou občanskou vybavenost a infrastrukturu, dobrou dopravní dostupnost. Velmi kladně je vnímán i doprovod dítěte do 3 let věku v MHD zdarma, což oceňovali i rodiče v rámci anketního šetření u rodin s dětmi.</w:t>
      </w:r>
    </w:p>
    <w:p w:rsidR="001E2481" w:rsidRDefault="001E2481" w:rsidP="00080C28">
      <w:pPr>
        <w:spacing w:after="0"/>
        <w:rPr>
          <w:rFonts w:ascii="Times New Roman" w:hAnsi="Times New Roman" w:cs="Times New Roman"/>
          <w:sz w:val="24"/>
          <w:szCs w:val="24"/>
        </w:rPr>
      </w:pPr>
    </w:p>
    <w:p w:rsidR="001E2481" w:rsidRDefault="001E2481" w:rsidP="00080C28">
      <w:pPr>
        <w:spacing w:after="0"/>
        <w:rPr>
          <w:rFonts w:ascii="Times New Roman" w:hAnsi="Times New Roman" w:cs="Times New Roman"/>
          <w:sz w:val="24"/>
          <w:szCs w:val="24"/>
        </w:rPr>
      </w:pPr>
      <w:r w:rsidRPr="001E2481">
        <w:rPr>
          <w:rFonts w:ascii="Times New Roman" w:hAnsi="Times New Roman" w:cs="Times New Roman"/>
          <w:b/>
          <w:sz w:val="24"/>
          <w:szCs w:val="24"/>
        </w:rPr>
        <w:t>Slabou stránkou</w:t>
      </w:r>
      <w:r>
        <w:rPr>
          <w:rFonts w:ascii="Times New Roman" w:hAnsi="Times New Roman" w:cs="Times New Roman"/>
          <w:sz w:val="24"/>
          <w:szCs w:val="24"/>
        </w:rPr>
        <w:t xml:space="preserve"> je málo </w:t>
      </w:r>
      <w:proofErr w:type="spellStart"/>
      <w:r>
        <w:rPr>
          <w:rFonts w:ascii="Times New Roman" w:hAnsi="Times New Roman" w:cs="Times New Roman"/>
          <w:sz w:val="24"/>
          <w:szCs w:val="24"/>
        </w:rPr>
        <w:t>coworkingových</w:t>
      </w:r>
      <w:proofErr w:type="spellEnd"/>
      <w:r>
        <w:rPr>
          <w:rFonts w:ascii="Times New Roman" w:hAnsi="Times New Roman" w:cs="Times New Roman"/>
          <w:sz w:val="24"/>
          <w:szCs w:val="24"/>
        </w:rPr>
        <w:t xml:space="preserve"> míst v Olomouci, </w:t>
      </w:r>
      <w:r w:rsidR="00167CD3">
        <w:rPr>
          <w:rFonts w:ascii="Times New Roman" w:hAnsi="Times New Roman" w:cs="Times New Roman"/>
          <w:sz w:val="24"/>
          <w:szCs w:val="24"/>
        </w:rPr>
        <w:t>ale i</w:t>
      </w:r>
      <w:r>
        <w:rPr>
          <w:rFonts w:ascii="Times New Roman" w:hAnsi="Times New Roman" w:cs="Times New Roman"/>
          <w:sz w:val="24"/>
          <w:szCs w:val="24"/>
        </w:rPr>
        <w:t xml:space="preserve"> nedostatek míst v MŠ a dětských skupinách, včetně nedostatečné provozní doby. </w:t>
      </w:r>
      <w:r w:rsidR="00167CD3">
        <w:rPr>
          <w:rFonts w:ascii="Times New Roman" w:hAnsi="Times New Roman" w:cs="Times New Roman"/>
          <w:sz w:val="24"/>
          <w:szCs w:val="24"/>
        </w:rPr>
        <w:t xml:space="preserve">Slabou stránkou je i malé právní </w:t>
      </w:r>
      <w:r w:rsidR="00167CD3">
        <w:rPr>
          <w:rFonts w:ascii="Times New Roman" w:hAnsi="Times New Roman" w:cs="Times New Roman"/>
          <w:sz w:val="24"/>
          <w:szCs w:val="24"/>
        </w:rPr>
        <w:lastRenderedPageBreak/>
        <w:t>povědomí o slaďování rodinného a pracovního života, kdy zaměstnanec mnohdy neví, na co má nárok a co je naopak zaměstnavatelova povinnost.</w:t>
      </w:r>
    </w:p>
    <w:p w:rsidR="009E1C28" w:rsidRDefault="009E1C28" w:rsidP="009E1C28">
      <w:pPr>
        <w:spacing w:after="0"/>
        <w:rPr>
          <w:rFonts w:ascii="Times New Roman" w:hAnsi="Times New Roman" w:cs="Times New Roman"/>
          <w:b/>
          <w:sz w:val="24"/>
          <w:szCs w:val="24"/>
        </w:rPr>
      </w:pPr>
    </w:p>
    <w:p w:rsidR="001E2481" w:rsidRDefault="001E2481" w:rsidP="00436728">
      <w:pPr>
        <w:rPr>
          <w:rFonts w:ascii="Times New Roman" w:hAnsi="Times New Roman" w:cs="Times New Roman"/>
          <w:sz w:val="24"/>
          <w:szCs w:val="24"/>
        </w:rPr>
      </w:pPr>
      <w:r w:rsidRPr="001E2481">
        <w:rPr>
          <w:rFonts w:ascii="Times New Roman" w:hAnsi="Times New Roman" w:cs="Times New Roman"/>
          <w:b/>
          <w:sz w:val="24"/>
          <w:szCs w:val="24"/>
        </w:rPr>
        <w:t>Příležitostí</w:t>
      </w:r>
      <w:r>
        <w:rPr>
          <w:rFonts w:ascii="Times New Roman" w:hAnsi="Times New Roman" w:cs="Times New Roman"/>
          <w:sz w:val="24"/>
          <w:szCs w:val="24"/>
        </w:rPr>
        <w:t xml:space="preserve"> může být možnost krátkodobého hlídání dětí, např. i v rámci Family Pointu. Dále se nabízí </w:t>
      </w:r>
      <w:r w:rsidR="004604BD">
        <w:rPr>
          <w:rFonts w:ascii="Times New Roman" w:hAnsi="Times New Roman" w:cs="Times New Roman"/>
          <w:sz w:val="24"/>
          <w:szCs w:val="24"/>
        </w:rPr>
        <w:t xml:space="preserve">možnost </w:t>
      </w:r>
      <w:r>
        <w:rPr>
          <w:rFonts w:ascii="Times New Roman" w:hAnsi="Times New Roman" w:cs="Times New Roman"/>
          <w:sz w:val="24"/>
          <w:szCs w:val="24"/>
        </w:rPr>
        <w:t xml:space="preserve">využít potenciál vysokých škol, v jejichž spolupráci by </w:t>
      </w:r>
      <w:r w:rsidR="00CC2D17">
        <w:rPr>
          <w:rFonts w:ascii="Times New Roman" w:hAnsi="Times New Roman" w:cs="Times New Roman"/>
          <w:sz w:val="24"/>
          <w:szCs w:val="24"/>
        </w:rPr>
        <w:t>mohla být</w:t>
      </w:r>
      <w:r>
        <w:rPr>
          <w:rFonts w:ascii="Times New Roman" w:hAnsi="Times New Roman" w:cs="Times New Roman"/>
          <w:sz w:val="24"/>
          <w:szCs w:val="24"/>
        </w:rPr>
        <w:t xml:space="preserve"> zajištěna nabídka kroužků po vyučování právě za pomoci studentů VŠ. Dále je zapotřebí vytvořit podmínky pro znovunabytí sebedůvěry rodičů při návratu z MD/RD realizací kurzů, kariérového poradenství apod. </w:t>
      </w:r>
    </w:p>
    <w:p w:rsidR="001E2481" w:rsidRDefault="001E2481" w:rsidP="00436728">
      <w:pPr>
        <w:rPr>
          <w:rFonts w:ascii="Times New Roman" w:hAnsi="Times New Roman" w:cs="Times New Roman"/>
          <w:sz w:val="24"/>
          <w:szCs w:val="24"/>
        </w:rPr>
      </w:pPr>
      <w:r w:rsidRPr="00167CD3">
        <w:rPr>
          <w:rFonts w:ascii="Times New Roman" w:hAnsi="Times New Roman" w:cs="Times New Roman"/>
          <w:b/>
          <w:sz w:val="24"/>
          <w:szCs w:val="24"/>
        </w:rPr>
        <w:t>Hrozbo</w:t>
      </w:r>
      <w:r w:rsidR="00167CD3" w:rsidRPr="00167CD3">
        <w:rPr>
          <w:rFonts w:ascii="Times New Roman" w:hAnsi="Times New Roman" w:cs="Times New Roman"/>
          <w:b/>
          <w:sz w:val="24"/>
          <w:szCs w:val="24"/>
        </w:rPr>
        <w:t>u</w:t>
      </w:r>
      <w:r>
        <w:rPr>
          <w:rFonts w:ascii="Times New Roman" w:hAnsi="Times New Roman" w:cs="Times New Roman"/>
          <w:sz w:val="24"/>
          <w:szCs w:val="24"/>
        </w:rPr>
        <w:t xml:space="preserve"> může být neochota zaměstnavatelů umožňovat práci na zkrácený úvazek nebo sdílená pracovní místa. </w:t>
      </w:r>
    </w:p>
    <w:p w:rsidR="001E2481" w:rsidRDefault="00167CD3" w:rsidP="00167CD3">
      <w:pPr>
        <w:pStyle w:val="Nadpis3"/>
      </w:pPr>
      <w:r>
        <w:t>2.2.3 SWOT analýza – oblast prostoru přátelského rodinám</w:t>
      </w:r>
    </w:p>
    <w:p w:rsidR="00167CD3" w:rsidRDefault="00167CD3" w:rsidP="00167CD3">
      <w:pPr>
        <w:spacing w:after="0"/>
        <w:rPr>
          <w:rFonts w:ascii="Times New Roman" w:hAnsi="Times New Roman" w:cs="Times New Roman"/>
          <w:sz w:val="24"/>
          <w:szCs w:val="24"/>
        </w:rPr>
      </w:pPr>
    </w:p>
    <w:p w:rsidR="00167CD3" w:rsidRDefault="001743CA" w:rsidP="00167CD3">
      <w:pPr>
        <w:spacing w:after="0"/>
        <w:rPr>
          <w:rFonts w:ascii="Times New Roman" w:hAnsi="Times New Roman" w:cs="Times New Roman"/>
          <w:sz w:val="24"/>
          <w:szCs w:val="24"/>
        </w:rPr>
      </w:pPr>
      <w:r>
        <w:rPr>
          <w:rFonts w:ascii="Times New Roman" w:hAnsi="Times New Roman" w:cs="Times New Roman"/>
          <w:sz w:val="24"/>
          <w:szCs w:val="24"/>
        </w:rPr>
        <w:t>V </w:t>
      </w:r>
      <w:r w:rsidRPr="001743CA">
        <w:rPr>
          <w:rFonts w:ascii="Times New Roman" w:hAnsi="Times New Roman" w:cs="Times New Roman"/>
          <w:b/>
          <w:sz w:val="24"/>
          <w:szCs w:val="24"/>
        </w:rPr>
        <w:t>silných stránkách</w:t>
      </w:r>
      <w:r>
        <w:rPr>
          <w:rFonts w:ascii="Times New Roman" w:hAnsi="Times New Roman" w:cs="Times New Roman"/>
          <w:sz w:val="24"/>
          <w:szCs w:val="24"/>
        </w:rPr>
        <w:t xml:space="preserve"> dominuje dostatek dětských hřišť, dobrá dostupnost ploch pro příměstskou rekreaci, rostoucí síť cyklostezek, rostoucí nabídka a poptávka po komunitním setkávání, prostor městských parků, existence Family Pointů. </w:t>
      </w:r>
      <w:r w:rsidR="006C3218">
        <w:rPr>
          <w:rFonts w:ascii="Times New Roman" w:hAnsi="Times New Roman" w:cs="Times New Roman"/>
          <w:sz w:val="24"/>
          <w:szCs w:val="24"/>
        </w:rPr>
        <w:t xml:space="preserve">Přestože pracovní skupina uvedla dostatek dětských hřišť za silnou stránku, v anketním šetření u rodin s dětmi se toto nepotvrdilo, rodiče spíše naopak toto vnímají jako slabou stránku a volají po zvýšení počtu dětských hřišť, dovybavení dětských hřišť o další prvky, ideálně i pro děti se zdravotním postižením, dále volají po hřišti </w:t>
      </w:r>
      <w:r w:rsidR="006A1B17">
        <w:rPr>
          <w:rFonts w:ascii="Times New Roman" w:hAnsi="Times New Roman" w:cs="Times New Roman"/>
          <w:sz w:val="24"/>
          <w:szCs w:val="24"/>
        </w:rPr>
        <w:t xml:space="preserve">s prvky </w:t>
      </w:r>
      <w:r w:rsidR="006C3218">
        <w:rPr>
          <w:rFonts w:ascii="Times New Roman" w:hAnsi="Times New Roman" w:cs="Times New Roman"/>
          <w:sz w:val="24"/>
          <w:szCs w:val="24"/>
        </w:rPr>
        <w:t xml:space="preserve">pro více věkových </w:t>
      </w:r>
      <w:r w:rsidR="006A1B17">
        <w:rPr>
          <w:rFonts w:ascii="Times New Roman" w:hAnsi="Times New Roman" w:cs="Times New Roman"/>
          <w:sz w:val="24"/>
          <w:szCs w:val="24"/>
        </w:rPr>
        <w:t>kategorií</w:t>
      </w:r>
      <w:r w:rsidR="006C3218">
        <w:rPr>
          <w:rFonts w:ascii="Times New Roman" w:hAnsi="Times New Roman" w:cs="Times New Roman"/>
          <w:sz w:val="24"/>
          <w:szCs w:val="24"/>
        </w:rPr>
        <w:t xml:space="preserve">. </w:t>
      </w:r>
    </w:p>
    <w:p w:rsidR="006C3218" w:rsidRDefault="006C3218" w:rsidP="00167CD3">
      <w:pPr>
        <w:spacing w:after="0"/>
        <w:rPr>
          <w:rFonts w:ascii="Times New Roman" w:hAnsi="Times New Roman" w:cs="Times New Roman"/>
          <w:sz w:val="24"/>
          <w:szCs w:val="24"/>
        </w:rPr>
      </w:pPr>
    </w:p>
    <w:p w:rsidR="006C3218" w:rsidRDefault="006C3218" w:rsidP="00167CD3">
      <w:pPr>
        <w:spacing w:after="0"/>
        <w:rPr>
          <w:rFonts w:ascii="Times New Roman" w:hAnsi="Times New Roman" w:cs="Times New Roman"/>
          <w:sz w:val="24"/>
          <w:szCs w:val="24"/>
        </w:rPr>
      </w:pPr>
      <w:r w:rsidRPr="006C3218">
        <w:rPr>
          <w:rFonts w:ascii="Times New Roman" w:hAnsi="Times New Roman" w:cs="Times New Roman"/>
          <w:b/>
          <w:sz w:val="24"/>
          <w:szCs w:val="24"/>
        </w:rPr>
        <w:t>Slabou stránkou</w:t>
      </w:r>
      <w:r>
        <w:rPr>
          <w:rFonts w:ascii="Times New Roman" w:hAnsi="Times New Roman" w:cs="Times New Roman"/>
          <w:sz w:val="24"/>
          <w:szCs w:val="24"/>
        </w:rPr>
        <w:t xml:space="preserve"> je vlahý vztah občanů ke stavu veřejného prostoru a nedostatečné vymáhání pravidel platných pro veřejný prostor. Další slabou stránkou je malá adaptace veřejného prostoru na změnu klimatu, kdy chybí např. pítka, stromy v ulicích a na náměstí. Rovněž chybí odpadkové koše ve veřejném prostoru, a to i na tříděný odpad.</w:t>
      </w:r>
    </w:p>
    <w:p w:rsidR="006C3218" w:rsidRDefault="006C3218" w:rsidP="00167CD3">
      <w:pPr>
        <w:spacing w:after="0"/>
        <w:rPr>
          <w:rFonts w:ascii="Times New Roman" w:hAnsi="Times New Roman" w:cs="Times New Roman"/>
          <w:sz w:val="24"/>
          <w:szCs w:val="24"/>
        </w:rPr>
      </w:pPr>
    </w:p>
    <w:p w:rsidR="006C3218" w:rsidRDefault="0066002E" w:rsidP="00167CD3">
      <w:pPr>
        <w:spacing w:after="0"/>
        <w:rPr>
          <w:rFonts w:ascii="Times New Roman" w:hAnsi="Times New Roman" w:cs="Times New Roman"/>
          <w:sz w:val="24"/>
          <w:szCs w:val="24"/>
        </w:rPr>
      </w:pPr>
      <w:r w:rsidRPr="0066002E">
        <w:rPr>
          <w:rFonts w:ascii="Times New Roman" w:hAnsi="Times New Roman" w:cs="Times New Roman"/>
          <w:b/>
          <w:sz w:val="24"/>
          <w:szCs w:val="24"/>
        </w:rPr>
        <w:t>Příležitost</w:t>
      </w:r>
      <w:r>
        <w:rPr>
          <w:rFonts w:ascii="Times New Roman" w:hAnsi="Times New Roman" w:cs="Times New Roman"/>
          <w:sz w:val="24"/>
          <w:szCs w:val="24"/>
        </w:rPr>
        <w:t xml:space="preserve"> pracovní skupina vidí v širším využití prostoru městských parků, jejich doplněním o WC, přístupu k vodě a bezpečných „zástěn“ pro nakojení a posezení, doplnit parky</w:t>
      </w:r>
      <w:r w:rsidR="00036BED">
        <w:rPr>
          <w:rFonts w:ascii="Times New Roman" w:hAnsi="Times New Roman" w:cs="Times New Roman"/>
          <w:sz w:val="24"/>
          <w:szCs w:val="24"/>
        </w:rPr>
        <w:t xml:space="preserve"> mobiliářem - </w:t>
      </w:r>
      <w:r>
        <w:rPr>
          <w:rFonts w:ascii="Times New Roman" w:hAnsi="Times New Roman" w:cs="Times New Roman"/>
          <w:sz w:val="24"/>
          <w:szCs w:val="24"/>
        </w:rPr>
        <w:t xml:space="preserve">lavičkami a odpadkovými koši, včetně košů na tříděný odpad. Příležitostí může být i potenciál městské aplikace Moje Olomouc a možnost jejího rozšíření o další funkcionality. </w:t>
      </w:r>
    </w:p>
    <w:p w:rsidR="0066002E" w:rsidRDefault="0066002E" w:rsidP="00167CD3">
      <w:pPr>
        <w:spacing w:after="0"/>
        <w:rPr>
          <w:rFonts w:ascii="Times New Roman" w:hAnsi="Times New Roman" w:cs="Times New Roman"/>
          <w:sz w:val="24"/>
          <w:szCs w:val="24"/>
        </w:rPr>
      </w:pPr>
    </w:p>
    <w:p w:rsidR="0066002E" w:rsidRDefault="00EB0476" w:rsidP="00167CD3">
      <w:pPr>
        <w:spacing w:after="0"/>
        <w:rPr>
          <w:rFonts w:ascii="Times New Roman" w:hAnsi="Times New Roman" w:cs="Times New Roman"/>
          <w:sz w:val="24"/>
          <w:szCs w:val="24"/>
        </w:rPr>
      </w:pPr>
      <w:r w:rsidRPr="00EB0476">
        <w:rPr>
          <w:rFonts w:ascii="Times New Roman" w:hAnsi="Times New Roman" w:cs="Times New Roman"/>
          <w:b/>
          <w:sz w:val="24"/>
          <w:szCs w:val="24"/>
        </w:rPr>
        <w:t>Hrozbou</w:t>
      </w:r>
      <w:r w:rsidR="00CC2D17">
        <w:rPr>
          <w:rFonts w:ascii="Times New Roman" w:hAnsi="Times New Roman" w:cs="Times New Roman"/>
          <w:sz w:val="24"/>
          <w:szCs w:val="24"/>
        </w:rPr>
        <w:t xml:space="preserve"> může být zpoplatnění aktivit</w:t>
      </w:r>
      <w:r>
        <w:rPr>
          <w:rFonts w:ascii="Times New Roman" w:hAnsi="Times New Roman" w:cs="Times New Roman"/>
          <w:sz w:val="24"/>
          <w:szCs w:val="24"/>
        </w:rPr>
        <w:t xml:space="preserve">, které jsou nyní zdarma, zanedbaný městský mobiliář ve veřejném prostoru, či přetrvávající tolerance nedodržování opatření v parcích, nevymáhání provozních řádů a pravidel v parcích. </w:t>
      </w:r>
    </w:p>
    <w:p w:rsidR="00167CD3" w:rsidRDefault="00EB0476" w:rsidP="00EB0476">
      <w:pPr>
        <w:pStyle w:val="Nadpis3"/>
      </w:pPr>
      <w:r>
        <w:t>2.2.4 SWOT analýza – oblast komunikace a spolupráce</w:t>
      </w:r>
    </w:p>
    <w:p w:rsidR="00EB0476" w:rsidRDefault="00EB0476" w:rsidP="00EB0476">
      <w:pPr>
        <w:spacing w:after="0"/>
        <w:rPr>
          <w:rFonts w:ascii="Times New Roman" w:hAnsi="Times New Roman" w:cs="Times New Roman"/>
          <w:sz w:val="24"/>
          <w:szCs w:val="24"/>
        </w:rPr>
      </w:pPr>
    </w:p>
    <w:p w:rsidR="00EB0476" w:rsidRDefault="00EB0476" w:rsidP="004A3002">
      <w:pPr>
        <w:spacing w:after="0"/>
        <w:rPr>
          <w:rFonts w:ascii="Times New Roman" w:hAnsi="Times New Roman" w:cs="Times New Roman"/>
          <w:sz w:val="24"/>
          <w:szCs w:val="24"/>
        </w:rPr>
      </w:pPr>
      <w:r>
        <w:rPr>
          <w:rFonts w:ascii="Times New Roman" w:hAnsi="Times New Roman" w:cs="Times New Roman"/>
          <w:sz w:val="24"/>
          <w:szCs w:val="24"/>
        </w:rPr>
        <w:t xml:space="preserve">V oblasti komunikace a spolupráce je jednoznačně </w:t>
      </w:r>
      <w:r w:rsidRPr="00921E95">
        <w:rPr>
          <w:rFonts w:ascii="Times New Roman" w:hAnsi="Times New Roman" w:cs="Times New Roman"/>
          <w:b/>
          <w:sz w:val="24"/>
          <w:szCs w:val="24"/>
        </w:rPr>
        <w:t>silnou stránkou</w:t>
      </w:r>
      <w:r>
        <w:rPr>
          <w:rFonts w:ascii="Times New Roman" w:hAnsi="Times New Roman" w:cs="Times New Roman"/>
          <w:sz w:val="24"/>
          <w:szCs w:val="24"/>
        </w:rPr>
        <w:t xml:space="preserve"> aktivní spolupráce mezi klíčovými aktéry prorodinné politiky, již tradiční konference k rodinné politice</w:t>
      </w:r>
      <w:r w:rsidR="00921E95">
        <w:rPr>
          <w:rFonts w:ascii="Times New Roman" w:hAnsi="Times New Roman" w:cs="Times New Roman"/>
          <w:sz w:val="24"/>
          <w:szCs w:val="24"/>
        </w:rPr>
        <w:t xml:space="preserve">, široká nabídka propagačních materiálů pro rodiny a seniory. </w:t>
      </w:r>
    </w:p>
    <w:p w:rsidR="00921E95" w:rsidRDefault="00921E95" w:rsidP="004A3002">
      <w:pPr>
        <w:spacing w:after="0"/>
        <w:rPr>
          <w:rFonts w:ascii="Times New Roman" w:hAnsi="Times New Roman" w:cs="Times New Roman"/>
          <w:sz w:val="24"/>
          <w:szCs w:val="24"/>
        </w:rPr>
      </w:pPr>
    </w:p>
    <w:p w:rsidR="00EB0476" w:rsidRDefault="00921E95" w:rsidP="004A3002">
      <w:pPr>
        <w:rPr>
          <w:rFonts w:ascii="Times New Roman" w:hAnsi="Times New Roman" w:cs="Times New Roman"/>
          <w:sz w:val="24"/>
          <w:szCs w:val="24"/>
        </w:rPr>
      </w:pPr>
      <w:r w:rsidRPr="00921E95">
        <w:rPr>
          <w:rFonts w:ascii="Times New Roman" w:hAnsi="Times New Roman" w:cs="Times New Roman"/>
          <w:b/>
          <w:sz w:val="24"/>
          <w:szCs w:val="24"/>
        </w:rPr>
        <w:lastRenderedPageBreak/>
        <w:t>Slabou stránkou</w:t>
      </w:r>
      <w:r>
        <w:rPr>
          <w:rFonts w:ascii="Times New Roman" w:hAnsi="Times New Roman" w:cs="Times New Roman"/>
          <w:sz w:val="24"/>
          <w:szCs w:val="24"/>
        </w:rPr>
        <w:t xml:space="preserve"> je zejména špatná dostupnost městských vývěsek a ploch pro propagaci rodinných aktivit. Rovněž je u veřejnosti jen malé povědomí o webu akce.olomouc.eu, který by mohl být využí</w:t>
      </w:r>
      <w:r w:rsidR="004604BD">
        <w:rPr>
          <w:rFonts w:ascii="Times New Roman" w:hAnsi="Times New Roman" w:cs="Times New Roman"/>
          <w:sz w:val="24"/>
          <w:szCs w:val="24"/>
        </w:rPr>
        <w:t>ván</w:t>
      </w:r>
      <w:r>
        <w:rPr>
          <w:rFonts w:ascii="Times New Roman" w:hAnsi="Times New Roman" w:cs="Times New Roman"/>
          <w:sz w:val="24"/>
          <w:szCs w:val="24"/>
        </w:rPr>
        <w:t xml:space="preserve"> pro propagac</w:t>
      </w:r>
      <w:r w:rsidR="00AC6F5E">
        <w:rPr>
          <w:rFonts w:ascii="Times New Roman" w:hAnsi="Times New Roman" w:cs="Times New Roman"/>
          <w:sz w:val="24"/>
          <w:szCs w:val="24"/>
        </w:rPr>
        <w:t>i</w:t>
      </w:r>
      <w:r>
        <w:rPr>
          <w:rFonts w:ascii="Times New Roman" w:hAnsi="Times New Roman" w:cs="Times New Roman"/>
          <w:sz w:val="24"/>
          <w:szCs w:val="24"/>
        </w:rPr>
        <w:t xml:space="preserve"> akcí na jednom místě. </w:t>
      </w:r>
    </w:p>
    <w:p w:rsidR="00921E95" w:rsidRDefault="00921E95" w:rsidP="004A3002">
      <w:pPr>
        <w:rPr>
          <w:rFonts w:ascii="Times New Roman" w:hAnsi="Times New Roman" w:cs="Times New Roman"/>
          <w:sz w:val="24"/>
          <w:szCs w:val="24"/>
        </w:rPr>
      </w:pPr>
      <w:r w:rsidRPr="00921E95">
        <w:rPr>
          <w:rFonts w:ascii="Times New Roman" w:hAnsi="Times New Roman" w:cs="Times New Roman"/>
          <w:b/>
          <w:sz w:val="24"/>
          <w:szCs w:val="24"/>
        </w:rPr>
        <w:t>Příležitostí</w:t>
      </w:r>
      <w:r>
        <w:rPr>
          <w:rFonts w:ascii="Times New Roman" w:hAnsi="Times New Roman" w:cs="Times New Roman"/>
          <w:sz w:val="24"/>
          <w:szCs w:val="24"/>
        </w:rPr>
        <w:t xml:space="preserve"> by mohla být užší spolupráce s komisemi městských částí, pořádání kulatých stolů a komunitních akcí typu společné snídaně, sousedská setkání apod. Příležitostí by mohl být i veřejný prostor vyhrazený pro propagaci aktivit pro rodiny a seniory, stejně tak vyhrazené reklamní plochy ve vozidlech MHD a na zastávkách MHD. K propagaci by bylo možné využít potenciál stávajících stránek akce.olomouc.eu.</w:t>
      </w:r>
    </w:p>
    <w:p w:rsidR="00921E95" w:rsidRDefault="00921E95" w:rsidP="004A3002">
      <w:pPr>
        <w:rPr>
          <w:rFonts w:ascii="Times New Roman" w:hAnsi="Times New Roman" w:cs="Times New Roman"/>
          <w:sz w:val="24"/>
          <w:szCs w:val="24"/>
        </w:rPr>
      </w:pPr>
      <w:r w:rsidRPr="00200D1E">
        <w:rPr>
          <w:rFonts w:ascii="Times New Roman" w:hAnsi="Times New Roman" w:cs="Times New Roman"/>
          <w:b/>
          <w:sz w:val="24"/>
          <w:szCs w:val="24"/>
        </w:rPr>
        <w:t>Hrozbou</w:t>
      </w:r>
      <w:r>
        <w:rPr>
          <w:rFonts w:ascii="Times New Roman" w:hAnsi="Times New Roman" w:cs="Times New Roman"/>
          <w:sz w:val="24"/>
          <w:szCs w:val="24"/>
        </w:rPr>
        <w:t xml:space="preserve"> je zejména </w:t>
      </w:r>
      <w:proofErr w:type="spellStart"/>
      <w:r>
        <w:rPr>
          <w:rFonts w:ascii="Times New Roman" w:hAnsi="Times New Roman" w:cs="Times New Roman"/>
          <w:sz w:val="24"/>
          <w:szCs w:val="24"/>
        </w:rPr>
        <w:t>přehlcenost</w:t>
      </w:r>
      <w:proofErr w:type="spellEnd"/>
      <w:r>
        <w:rPr>
          <w:rFonts w:ascii="Times New Roman" w:hAnsi="Times New Roman" w:cs="Times New Roman"/>
          <w:sz w:val="24"/>
          <w:szCs w:val="24"/>
        </w:rPr>
        <w:t>, překrývání a špatná koordinace akcí pro veřejnost, ale i opomíjení zájmů „mlčících“ rodin.</w:t>
      </w:r>
    </w:p>
    <w:p w:rsidR="00565A41" w:rsidRDefault="00565A41" w:rsidP="00565A41">
      <w:pPr>
        <w:pStyle w:val="Nadpis2"/>
      </w:pPr>
      <w:r>
        <w:t>2.3 Anketní šetření</w:t>
      </w:r>
    </w:p>
    <w:p w:rsidR="00565A41" w:rsidRDefault="00565A41" w:rsidP="00565A41">
      <w:pPr>
        <w:spacing w:after="0"/>
        <w:rPr>
          <w:rFonts w:ascii="Times New Roman" w:hAnsi="Times New Roman" w:cs="Times New Roman"/>
          <w:sz w:val="24"/>
          <w:szCs w:val="24"/>
        </w:rPr>
      </w:pPr>
    </w:p>
    <w:p w:rsidR="00565A41" w:rsidRDefault="008F3DCE" w:rsidP="00565A41">
      <w:pPr>
        <w:spacing w:after="0"/>
        <w:rPr>
          <w:rFonts w:ascii="Times New Roman" w:hAnsi="Times New Roman" w:cs="Times New Roman"/>
          <w:bCs/>
          <w:color w:val="000000"/>
          <w:sz w:val="24"/>
          <w:szCs w:val="24"/>
          <w:lang w:eastAsia="cs-CZ"/>
        </w:rPr>
      </w:pPr>
      <w:r>
        <w:rPr>
          <w:rFonts w:ascii="Times New Roman" w:hAnsi="Times New Roman" w:cs="Times New Roman"/>
          <w:sz w:val="24"/>
          <w:szCs w:val="24"/>
        </w:rPr>
        <w:t>V průběhu měsíců září až listopad 2024</w:t>
      </w:r>
      <w:r w:rsidR="00AE25E7">
        <w:rPr>
          <w:rFonts w:ascii="Times New Roman" w:hAnsi="Times New Roman" w:cs="Times New Roman"/>
          <w:sz w:val="24"/>
          <w:szCs w:val="24"/>
        </w:rPr>
        <w:t xml:space="preserve"> (resp. 3. 12.) byla</w:t>
      </w:r>
      <w:r>
        <w:rPr>
          <w:rFonts w:ascii="Times New Roman" w:hAnsi="Times New Roman" w:cs="Times New Roman"/>
          <w:sz w:val="24"/>
          <w:szCs w:val="24"/>
        </w:rPr>
        <w:t xml:space="preserve"> postupně realizována anketní šetření u komisí městských částí, otevřených školních hřišť, rodičů s dětmi, seniorů a u mládeže. Kromě posledně zmíněného byly anketní otázky </w:t>
      </w:r>
      <w:r w:rsidR="00284107">
        <w:rPr>
          <w:rFonts w:ascii="Times New Roman" w:hAnsi="Times New Roman" w:cs="Times New Roman"/>
          <w:sz w:val="24"/>
          <w:szCs w:val="24"/>
        </w:rPr>
        <w:t>sestavovány</w:t>
      </w:r>
      <w:r>
        <w:rPr>
          <w:rFonts w:ascii="Times New Roman" w:hAnsi="Times New Roman" w:cs="Times New Roman"/>
          <w:sz w:val="24"/>
          <w:szCs w:val="24"/>
        </w:rPr>
        <w:t xml:space="preserve"> v rámci pracovní skupiny rodinné politiky</w:t>
      </w:r>
      <w:r w:rsidR="00284107">
        <w:rPr>
          <w:rFonts w:ascii="Times New Roman" w:hAnsi="Times New Roman" w:cs="Times New Roman"/>
          <w:sz w:val="24"/>
          <w:szCs w:val="24"/>
        </w:rPr>
        <w:t xml:space="preserve">. Jelikož u šetření u mládeže šlo o kombinaci otázek a zákresů do map, na realizaci šetření byla oslovena </w:t>
      </w:r>
      <w:r w:rsidR="00284107" w:rsidRPr="00284107">
        <w:rPr>
          <w:rFonts w:ascii="Times New Roman" w:hAnsi="Times New Roman" w:cs="Times New Roman"/>
          <w:sz w:val="24"/>
          <w:szCs w:val="24"/>
        </w:rPr>
        <w:t xml:space="preserve">organizace </w:t>
      </w:r>
      <w:r w:rsidR="00284107" w:rsidRPr="00284107">
        <w:rPr>
          <w:rFonts w:ascii="Times New Roman" w:hAnsi="Times New Roman" w:cs="Times New Roman"/>
          <w:bCs/>
          <w:color w:val="000000"/>
          <w:sz w:val="24"/>
          <w:szCs w:val="24"/>
          <w:lang w:eastAsia="cs-CZ"/>
        </w:rPr>
        <w:t xml:space="preserve">AQE </w:t>
      </w:r>
      <w:proofErr w:type="spellStart"/>
      <w:r w:rsidR="00284107" w:rsidRPr="00284107">
        <w:rPr>
          <w:rFonts w:ascii="Times New Roman" w:hAnsi="Times New Roman" w:cs="Times New Roman"/>
          <w:bCs/>
          <w:color w:val="000000"/>
          <w:sz w:val="24"/>
          <w:szCs w:val="24"/>
          <w:lang w:eastAsia="cs-CZ"/>
        </w:rPr>
        <w:t>advisors</w:t>
      </w:r>
      <w:proofErr w:type="spellEnd"/>
      <w:r w:rsidR="00284107" w:rsidRPr="00284107">
        <w:rPr>
          <w:rFonts w:ascii="Times New Roman" w:hAnsi="Times New Roman" w:cs="Times New Roman"/>
          <w:bCs/>
          <w:color w:val="000000"/>
          <w:sz w:val="24"/>
          <w:szCs w:val="24"/>
          <w:lang w:eastAsia="cs-CZ"/>
        </w:rPr>
        <w:t>, a.s.</w:t>
      </w:r>
      <w:r w:rsidR="00284107">
        <w:rPr>
          <w:rFonts w:ascii="Times New Roman" w:hAnsi="Times New Roman" w:cs="Times New Roman"/>
          <w:bCs/>
          <w:color w:val="000000"/>
          <w:sz w:val="24"/>
          <w:szCs w:val="24"/>
          <w:lang w:eastAsia="cs-CZ"/>
        </w:rPr>
        <w:t xml:space="preserve"> Výstupy šetření jsou stěžejním podkladem pro novou koncepci prorodinné politiky a budou využity i pro tvorbu nového Strategického plánu rozvoje města Olomouce. Z tohoto důvodu se na šetření s odborem sociálních věcí podílel i odbor strategie a řízení. </w:t>
      </w:r>
    </w:p>
    <w:p w:rsidR="00284107" w:rsidRDefault="00AE25E7" w:rsidP="00AE25E7">
      <w:pPr>
        <w:pStyle w:val="Nadpis3"/>
      </w:pPr>
      <w:r>
        <w:t>2.3.1 Šetření u KMČ</w:t>
      </w:r>
    </w:p>
    <w:p w:rsidR="00AE25E7" w:rsidRDefault="00AE25E7" w:rsidP="00565A41">
      <w:pPr>
        <w:spacing w:after="0"/>
        <w:rPr>
          <w:rFonts w:ascii="Times New Roman" w:hAnsi="Times New Roman" w:cs="Times New Roman"/>
          <w:sz w:val="24"/>
          <w:szCs w:val="24"/>
        </w:rPr>
      </w:pPr>
    </w:p>
    <w:p w:rsidR="00AE25E7" w:rsidRDefault="006D78AB" w:rsidP="004A3002">
      <w:pPr>
        <w:spacing w:after="0"/>
        <w:rPr>
          <w:rFonts w:ascii="Times New Roman" w:hAnsi="Times New Roman" w:cs="Times New Roman"/>
          <w:sz w:val="24"/>
          <w:szCs w:val="24"/>
        </w:rPr>
      </w:pPr>
      <w:r>
        <w:rPr>
          <w:rFonts w:ascii="Times New Roman" w:hAnsi="Times New Roman" w:cs="Times New Roman"/>
          <w:sz w:val="24"/>
          <w:szCs w:val="24"/>
        </w:rPr>
        <w:t xml:space="preserve">V rámci anketního šetření nás zajímalo, zda </w:t>
      </w:r>
      <w:r w:rsidR="00200D1E">
        <w:rPr>
          <w:rFonts w:ascii="Times New Roman" w:hAnsi="Times New Roman" w:cs="Times New Roman"/>
          <w:sz w:val="24"/>
          <w:szCs w:val="24"/>
        </w:rPr>
        <w:t>komise</w:t>
      </w:r>
      <w:r>
        <w:rPr>
          <w:rFonts w:ascii="Times New Roman" w:hAnsi="Times New Roman" w:cs="Times New Roman"/>
          <w:sz w:val="24"/>
          <w:szCs w:val="24"/>
        </w:rPr>
        <w:t xml:space="preserve"> </w:t>
      </w:r>
      <w:r w:rsidR="00200D1E">
        <w:rPr>
          <w:rFonts w:ascii="Times New Roman" w:hAnsi="Times New Roman" w:cs="Times New Roman"/>
          <w:sz w:val="24"/>
          <w:szCs w:val="24"/>
        </w:rPr>
        <w:t xml:space="preserve">ve své městské části postrádají </w:t>
      </w:r>
      <w:r>
        <w:rPr>
          <w:rFonts w:ascii="Times New Roman" w:hAnsi="Times New Roman" w:cs="Times New Roman"/>
          <w:sz w:val="24"/>
          <w:szCs w:val="24"/>
        </w:rPr>
        <w:t>něco</w:t>
      </w:r>
      <w:r w:rsidR="00200D1E">
        <w:rPr>
          <w:rFonts w:ascii="Times New Roman" w:hAnsi="Times New Roman" w:cs="Times New Roman"/>
          <w:sz w:val="24"/>
          <w:szCs w:val="24"/>
        </w:rPr>
        <w:t xml:space="preserve"> </w:t>
      </w:r>
      <w:r>
        <w:rPr>
          <w:rFonts w:ascii="Times New Roman" w:hAnsi="Times New Roman" w:cs="Times New Roman"/>
          <w:sz w:val="24"/>
          <w:szCs w:val="24"/>
        </w:rPr>
        <w:t xml:space="preserve">pro zlepšení života rodin s dětmi a seniorů. Dále nás zajímalo, zda mají </w:t>
      </w:r>
      <w:r w:rsidR="00823083">
        <w:rPr>
          <w:rFonts w:ascii="Times New Roman" w:hAnsi="Times New Roman" w:cs="Times New Roman"/>
          <w:sz w:val="24"/>
          <w:szCs w:val="24"/>
        </w:rPr>
        <w:t xml:space="preserve">KMČ </w:t>
      </w:r>
      <w:r>
        <w:rPr>
          <w:rFonts w:ascii="Times New Roman" w:hAnsi="Times New Roman" w:cs="Times New Roman"/>
          <w:sz w:val="24"/>
          <w:szCs w:val="24"/>
        </w:rPr>
        <w:t>nějaké návrhy na zapojení rodin, senior</w:t>
      </w:r>
      <w:r w:rsidR="004604BD">
        <w:rPr>
          <w:rFonts w:ascii="Times New Roman" w:hAnsi="Times New Roman" w:cs="Times New Roman"/>
          <w:sz w:val="24"/>
          <w:szCs w:val="24"/>
        </w:rPr>
        <w:t>ů</w:t>
      </w:r>
      <w:r>
        <w:rPr>
          <w:rFonts w:ascii="Times New Roman" w:hAnsi="Times New Roman" w:cs="Times New Roman"/>
          <w:sz w:val="24"/>
          <w:szCs w:val="24"/>
        </w:rPr>
        <w:t xml:space="preserve"> či místního rodinné centra/MŠ/ZŠ do akcí pořádaných městskou částí či zda ve své městské části zaznamenávají problémy s neorganizovanou mládeží. Dále byly KMČ dotazovány, zda </w:t>
      </w:r>
      <w:r w:rsidR="00823083">
        <w:rPr>
          <w:rFonts w:ascii="Times New Roman" w:hAnsi="Times New Roman" w:cs="Times New Roman"/>
          <w:sz w:val="24"/>
          <w:szCs w:val="24"/>
        </w:rPr>
        <w:t xml:space="preserve">a jaké konkrétní akce </w:t>
      </w:r>
      <w:r>
        <w:rPr>
          <w:rFonts w:ascii="Times New Roman" w:hAnsi="Times New Roman" w:cs="Times New Roman"/>
          <w:sz w:val="24"/>
          <w:szCs w:val="24"/>
        </w:rPr>
        <w:t xml:space="preserve">pořádají pro rodiny s dětmi, seniory, mezigenerační akce apod. </w:t>
      </w:r>
    </w:p>
    <w:p w:rsidR="006D78AB" w:rsidRDefault="006D78AB" w:rsidP="004A3002">
      <w:pPr>
        <w:spacing w:after="0"/>
        <w:rPr>
          <w:rFonts w:ascii="Times New Roman" w:hAnsi="Times New Roman" w:cs="Times New Roman"/>
          <w:sz w:val="24"/>
          <w:szCs w:val="24"/>
        </w:rPr>
      </w:pPr>
    </w:p>
    <w:p w:rsidR="006D78AB" w:rsidRDefault="006D78AB" w:rsidP="004A3002">
      <w:pPr>
        <w:spacing w:after="0"/>
        <w:rPr>
          <w:rFonts w:ascii="Times New Roman" w:hAnsi="Times New Roman" w:cs="Times New Roman"/>
          <w:sz w:val="24"/>
          <w:szCs w:val="24"/>
        </w:rPr>
      </w:pPr>
      <w:r>
        <w:rPr>
          <w:rFonts w:ascii="Times New Roman" w:hAnsi="Times New Roman" w:cs="Times New Roman"/>
          <w:sz w:val="24"/>
          <w:szCs w:val="24"/>
        </w:rPr>
        <w:t xml:space="preserve">Anketou bylo osloveno všech 27 KMČ, zpětnou vazbu jsme získali pouze z 12. </w:t>
      </w:r>
      <w:r w:rsidR="009A4477">
        <w:rPr>
          <w:rFonts w:ascii="Times New Roman" w:hAnsi="Times New Roman" w:cs="Times New Roman"/>
          <w:sz w:val="24"/>
          <w:szCs w:val="24"/>
        </w:rPr>
        <w:t xml:space="preserve">Pro zlepšení života rodin s dětmi a seniory by KMČ uvítaly komunitní/kulturní centrum, které by bylo uzpůsobeno pro setkávání a příp. pořádání zájmových kroužků. KMČ dále zmiňují nedostatek dětských hřišť, zejména s prvky pro více věkových kategorií, ale volají i po lepší údržbě veřejných prostor, zlepšení stavu chodníků, cyklostezce vedoucí až do města, upozorňují na nedostatečné autobusové spojení s městem. </w:t>
      </w:r>
    </w:p>
    <w:p w:rsidR="009A4477" w:rsidRDefault="009A4477" w:rsidP="004A3002">
      <w:pPr>
        <w:spacing w:after="0"/>
        <w:rPr>
          <w:rFonts w:ascii="Times New Roman" w:hAnsi="Times New Roman" w:cs="Times New Roman"/>
          <w:sz w:val="24"/>
          <w:szCs w:val="24"/>
        </w:rPr>
      </w:pPr>
    </w:p>
    <w:p w:rsidR="009A4477" w:rsidRDefault="009A4477" w:rsidP="004A3002">
      <w:pPr>
        <w:spacing w:after="0"/>
        <w:rPr>
          <w:rFonts w:ascii="Times New Roman" w:hAnsi="Times New Roman" w:cs="Times New Roman"/>
          <w:sz w:val="24"/>
          <w:szCs w:val="24"/>
        </w:rPr>
      </w:pPr>
      <w:r>
        <w:rPr>
          <w:rFonts w:ascii="Times New Roman" w:hAnsi="Times New Roman" w:cs="Times New Roman"/>
          <w:sz w:val="24"/>
          <w:szCs w:val="24"/>
        </w:rPr>
        <w:t xml:space="preserve">Více než </w:t>
      </w:r>
      <w:r w:rsidR="004F4F5A">
        <w:rPr>
          <w:rFonts w:ascii="Times New Roman" w:hAnsi="Times New Roman" w:cs="Times New Roman"/>
          <w:sz w:val="24"/>
          <w:szCs w:val="24"/>
        </w:rPr>
        <w:t>v </w:t>
      </w:r>
      <w:r>
        <w:rPr>
          <w:rFonts w:ascii="Times New Roman" w:hAnsi="Times New Roman" w:cs="Times New Roman"/>
          <w:sz w:val="24"/>
          <w:szCs w:val="24"/>
        </w:rPr>
        <w:t>polovin</w:t>
      </w:r>
      <w:r w:rsidR="004F4F5A">
        <w:rPr>
          <w:rFonts w:ascii="Times New Roman" w:hAnsi="Times New Roman" w:cs="Times New Roman"/>
          <w:sz w:val="24"/>
          <w:szCs w:val="24"/>
        </w:rPr>
        <w:t>ě případů</w:t>
      </w:r>
      <w:r>
        <w:rPr>
          <w:rFonts w:ascii="Times New Roman" w:hAnsi="Times New Roman" w:cs="Times New Roman"/>
          <w:sz w:val="24"/>
          <w:szCs w:val="24"/>
        </w:rPr>
        <w:t xml:space="preserve"> (58,3%) ve své městské části </w:t>
      </w:r>
      <w:r w:rsidR="004F4F5A">
        <w:rPr>
          <w:rFonts w:ascii="Times New Roman" w:hAnsi="Times New Roman" w:cs="Times New Roman"/>
          <w:sz w:val="24"/>
          <w:szCs w:val="24"/>
        </w:rPr>
        <w:t xml:space="preserve">KMČ </w:t>
      </w:r>
      <w:r>
        <w:rPr>
          <w:rFonts w:ascii="Times New Roman" w:hAnsi="Times New Roman" w:cs="Times New Roman"/>
          <w:sz w:val="24"/>
          <w:szCs w:val="24"/>
        </w:rPr>
        <w:t>nezaznamenává problémy s neorganizovanou mládeží. Pokud an</w:t>
      </w:r>
      <w:r w:rsidR="00823083">
        <w:rPr>
          <w:rFonts w:ascii="Times New Roman" w:hAnsi="Times New Roman" w:cs="Times New Roman"/>
          <w:sz w:val="24"/>
          <w:szCs w:val="24"/>
        </w:rPr>
        <w:t>o, jedná se spíše o jednotlivce a</w:t>
      </w:r>
      <w:r>
        <w:rPr>
          <w:rFonts w:ascii="Times New Roman" w:hAnsi="Times New Roman" w:cs="Times New Roman"/>
          <w:sz w:val="24"/>
          <w:szCs w:val="24"/>
        </w:rPr>
        <w:t xml:space="preserve"> </w:t>
      </w:r>
      <w:r w:rsidR="004F4F5A">
        <w:rPr>
          <w:rFonts w:ascii="Times New Roman" w:hAnsi="Times New Roman" w:cs="Times New Roman"/>
          <w:sz w:val="24"/>
          <w:szCs w:val="24"/>
        </w:rPr>
        <w:t xml:space="preserve">pouze </w:t>
      </w:r>
      <w:r w:rsidR="00823083">
        <w:rPr>
          <w:rFonts w:ascii="Times New Roman" w:hAnsi="Times New Roman" w:cs="Times New Roman"/>
          <w:sz w:val="24"/>
          <w:szCs w:val="24"/>
        </w:rPr>
        <w:t>nepravidelné události</w:t>
      </w:r>
      <w:r>
        <w:rPr>
          <w:rFonts w:ascii="Times New Roman" w:hAnsi="Times New Roman" w:cs="Times New Roman"/>
          <w:sz w:val="24"/>
          <w:szCs w:val="24"/>
        </w:rPr>
        <w:t>.</w:t>
      </w:r>
    </w:p>
    <w:p w:rsidR="009A4477" w:rsidRDefault="009A4477" w:rsidP="004A3002">
      <w:pPr>
        <w:spacing w:after="0"/>
        <w:rPr>
          <w:rFonts w:ascii="Times New Roman" w:hAnsi="Times New Roman" w:cs="Times New Roman"/>
          <w:sz w:val="24"/>
          <w:szCs w:val="24"/>
        </w:rPr>
      </w:pPr>
    </w:p>
    <w:p w:rsidR="009A4477" w:rsidRDefault="00823083" w:rsidP="004A3002">
      <w:pPr>
        <w:spacing w:after="0"/>
        <w:rPr>
          <w:rFonts w:ascii="Times New Roman" w:hAnsi="Times New Roman" w:cs="Times New Roman"/>
          <w:sz w:val="24"/>
          <w:szCs w:val="24"/>
        </w:rPr>
      </w:pPr>
      <w:r>
        <w:rPr>
          <w:rFonts w:ascii="Times New Roman" w:hAnsi="Times New Roman" w:cs="Times New Roman"/>
          <w:sz w:val="24"/>
          <w:szCs w:val="24"/>
        </w:rPr>
        <w:lastRenderedPageBreak/>
        <w:t>Z odpovědí dále vyplývá, že 11</w:t>
      </w:r>
      <w:r w:rsidR="001814CD">
        <w:rPr>
          <w:rFonts w:ascii="Times New Roman" w:hAnsi="Times New Roman" w:cs="Times New Roman"/>
          <w:sz w:val="24"/>
          <w:szCs w:val="24"/>
        </w:rPr>
        <w:t xml:space="preserve"> KMČ pořád</w:t>
      </w:r>
      <w:r w:rsidR="004604BD">
        <w:rPr>
          <w:rFonts w:ascii="Times New Roman" w:hAnsi="Times New Roman" w:cs="Times New Roman"/>
          <w:sz w:val="24"/>
          <w:szCs w:val="24"/>
        </w:rPr>
        <w:t>á</w:t>
      </w:r>
      <w:r w:rsidR="001814CD">
        <w:rPr>
          <w:rFonts w:ascii="Times New Roman" w:hAnsi="Times New Roman" w:cs="Times New Roman"/>
          <w:sz w:val="24"/>
          <w:szCs w:val="24"/>
        </w:rPr>
        <w:t xml:space="preserve"> nějaké akce pro rodiny s dětmi či seniory. Nejčastěji se jedná o 4-5 akcí za rok, výjimkou ale není ani 8-10 akcí za rok. Zmiňovány jsou především sousedská setkání a slavnosti, dále to jsou akce u různých příležitostí, např. Velikonoce, Vánoce, hody, pálení čarodějnic, lampionový průvod, dětský den, maškarní radovánky apod. Na těchto akcích KMČ většinou spolupracují s místní MŠ, ZŠ, rodinným centrem, hasiči</w:t>
      </w:r>
      <w:r w:rsidR="00FC18F7">
        <w:rPr>
          <w:rFonts w:ascii="Times New Roman" w:hAnsi="Times New Roman" w:cs="Times New Roman"/>
          <w:sz w:val="24"/>
          <w:szCs w:val="24"/>
        </w:rPr>
        <w:t xml:space="preserve">, církví, místními dobrovolníky. </w:t>
      </w:r>
    </w:p>
    <w:p w:rsidR="00565A41" w:rsidRDefault="00FC18F7" w:rsidP="00FC18F7">
      <w:pPr>
        <w:pStyle w:val="Nadpis3"/>
      </w:pPr>
      <w:r>
        <w:t>2.3.2 Otevřená školní hřiště</w:t>
      </w:r>
    </w:p>
    <w:p w:rsidR="00FC18F7" w:rsidRDefault="00FC18F7" w:rsidP="00FC18F7">
      <w:pPr>
        <w:spacing w:after="0"/>
        <w:rPr>
          <w:rFonts w:ascii="Times New Roman" w:hAnsi="Times New Roman" w:cs="Times New Roman"/>
          <w:sz w:val="24"/>
          <w:szCs w:val="24"/>
        </w:rPr>
      </w:pPr>
    </w:p>
    <w:p w:rsidR="00FC18F7" w:rsidRDefault="00D05727" w:rsidP="00FC18F7">
      <w:pPr>
        <w:spacing w:after="0"/>
        <w:rPr>
          <w:rFonts w:ascii="Times New Roman" w:hAnsi="Times New Roman" w:cs="Times New Roman"/>
          <w:sz w:val="24"/>
          <w:szCs w:val="24"/>
        </w:rPr>
      </w:pPr>
      <w:r>
        <w:rPr>
          <w:rFonts w:ascii="Times New Roman" w:hAnsi="Times New Roman" w:cs="Times New Roman"/>
          <w:sz w:val="24"/>
          <w:szCs w:val="24"/>
        </w:rPr>
        <w:t xml:space="preserve">Anketním šetřením byli prostřednictvím odboru školství osloveni ředitelé, při jejichž škole funguje otevřené školní hřiště. </w:t>
      </w:r>
      <w:r w:rsidR="00372289">
        <w:rPr>
          <w:rFonts w:ascii="Times New Roman" w:hAnsi="Times New Roman" w:cs="Times New Roman"/>
          <w:sz w:val="24"/>
          <w:szCs w:val="24"/>
        </w:rPr>
        <w:t xml:space="preserve">Celkem </w:t>
      </w:r>
      <w:r w:rsidR="007B703F">
        <w:rPr>
          <w:rFonts w:ascii="Times New Roman" w:hAnsi="Times New Roman" w:cs="Times New Roman"/>
          <w:sz w:val="24"/>
          <w:szCs w:val="24"/>
        </w:rPr>
        <w:t>7</w:t>
      </w:r>
      <w:r w:rsidR="00372289">
        <w:rPr>
          <w:rFonts w:ascii="Times New Roman" w:hAnsi="Times New Roman" w:cs="Times New Roman"/>
          <w:sz w:val="24"/>
          <w:szCs w:val="24"/>
        </w:rPr>
        <w:t xml:space="preserve"> ředitelů</w:t>
      </w:r>
      <w:r w:rsidR="007B703F">
        <w:rPr>
          <w:rFonts w:ascii="Times New Roman" w:hAnsi="Times New Roman" w:cs="Times New Roman"/>
          <w:sz w:val="24"/>
          <w:szCs w:val="24"/>
        </w:rPr>
        <w:t xml:space="preserve"> z 11</w:t>
      </w:r>
      <w:r w:rsidR="00372289">
        <w:rPr>
          <w:rFonts w:ascii="Times New Roman" w:hAnsi="Times New Roman" w:cs="Times New Roman"/>
          <w:sz w:val="24"/>
          <w:szCs w:val="24"/>
        </w:rPr>
        <w:t xml:space="preserve"> je přesvědčeno, že by se systém fungování otevřených školních hřišť mohl ještě zlepšit. Ředitelé by uvítali zejména více financí na provoz, personální zajištění, či zlepšení bezpečnostního systému. Otevřená školní hřiště byla kladně hodnocena i rodinami v rámci anketního šetření u rodin s dětmi. Rodiny by jen uvítaly celoroční </w:t>
      </w:r>
      <w:r w:rsidR="000B6009">
        <w:rPr>
          <w:rFonts w:ascii="Times New Roman" w:hAnsi="Times New Roman" w:cs="Times New Roman"/>
          <w:sz w:val="24"/>
          <w:szCs w:val="24"/>
        </w:rPr>
        <w:t>přístupnost</w:t>
      </w:r>
      <w:r w:rsidR="00372289">
        <w:rPr>
          <w:rFonts w:ascii="Times New Roman" w:hAnsi="Times New Roman" w:cs="Times New Roman"/>
          <w:sz w:val="24"/>
          <w:szCs w:val="24"/>
        </w:rPr>
        <w:t xml:space="preserve"> těchto hřišť</w:t>
      </w:r>
      <w:r w:rsidR="000B6009">
        <w:rPr>
          <w:rFonts w:ascii="Times New Roman" w:hAnsi="Times New Roman" w:cs="Times New Roman"/>
          <w:sz w:val="24"/>
          <w:szCs w:val="24"/>
        </w:rPr>
        <w:t>, tj. i v zimních měsících</w:t>
      </w:r>
      <w:r w:rsidR="00844246">
        <w:rPr>
          <w:rFonts w:ascii="Times New Roman" w:hAnsi="Times New Roman" w:cs="Times New Roman"/>
          <w:sz w:val="24"/>
          <w:szCs w:val="24"/>
        </w:rPr>
        <w:t xml:space="preserve"> a více takovýchto hřišť</w:t>
      </w:r>
      <w:r w:rsidR="00372289">
        <w:rPr>
          <w:rFonts w:ascii="Times New Roman" w:hAnsi="Times New Roman" w:cs="Times New Roman"/>
          <w:sz w:val="24"/>
          <w:szCs w:val="24"/>
        </w:rPr>
        <w:t xml:space="preserve">. </w:t>
      </w:r>
    </w:p>
    <w:p w:rsidR="00AE1E58" w:rsidRDefault="00AE1E58" w:rsidP="00FC18F7">
      <w:pPr>
        <w:spacing w:after="0"/>
        <w:rPr>
          <w:rFonts w:ascii="Times New Roman" w:hAnsi="Times New Roman" w:cs="Times New Roman"/>
          <w:sz w:val="24"/>
          <w:szCs w:val="24"/>
        </w:rPr>
      </w:pPr>
    </w:p>
    <w:p w:rsidR="00844246" w:rsidRDefault="00844246" w:rsidP="00844246">
      <w:pPr>
        <w:pStyle w:val="Nadpis3"/>
      </w:pPr>
      <w:r>
        <w:t>2.3.3 Anketní šetření u rodin s dětmi</w:t>
      </w:r>
    </w:p>
    <w:p w:rsidR="00844246" w:rsidRDefault="00844246" w:rsidP="00FC18F7">
      <w:pPr>
        <w:spacing w:after="0"/>
        <w:rPr>
          <w:rFonts w:ascii="Times New Roman" w:hAnsi="Times New Roman" w:cs="Times New Roman"/>
          <w:sz w:val="24"/>
          <w:szCs w:val="24"/>
        </w:rPr>
      </w:pPr>
    </w:p>
    <w:p w:rsidR="00397A67" w:rsidRPr="00397A67" w:rsidRDefault="00397A67" w:rsidP="00397A67">
      <w:pPr>
        <w:spacing w:after="0"/>
        <w:rPr>
          <w:rFonts w:ascii="Times New Roman" w:hAnsi="Times New Roman" w:cs="Times New Roman"/>
          <w:sz w:val="24"/>
          <w:szCs w:val="24"/>
        </w:rPr>
      </w:pPr>
      <w:r w:rsidRPr="00397A67">
        <w:rPr>
          <w:rFonts w:ascii="Times New Roman" w:hAnsi="Times New Roman" w:cs="Times New Roman"/>
          <w:sz w:val="24"/>
          <w:szCs w:val="24"/>
        </w:rPr>
        <w:t>V průběhu měsíce října 2024 byl</w:t>
      </w:r>
      <w:r>
        <w:rPr>
          <w:rFonts w:ascii="Times New Roman" w:hAnsi="Times New Roman" w:cs="Times New Roman"/>
          <w:sz w:val="24"/>
          <w:szCs w:val="24"/>
        </w:rPr>
        <w:t>o</w:t>
      </w:r>
      <w:r w:rsidRPr="00397A67">
        <w:rPr>
          <w:rFonts w:ascii="Times New Roman" w:hAnsi="Times New Roman" w:cs="Times New Roman"/>
          <w:sz w:val="24"/>
          <w:szCs w:val="24"/>
        </w:rPr>
        <w:t xml:space="preserve"> realizován</w:t>
      </w:r>
      <w:r>
        <w:rPr>
          <w:rFonts w:ascii="Times New Roman" w:hAnsi="Times New Roman" w:cs="Times New Roman"/>
          <w:sz w:val="24"/>
          <w:szCs w:val="24"/>
        </w:rPr>
        <w:t>o</w:t>
      </w:r>
      <w:r w:rsidRPr="00397A67">
        <w:rPr>
          <w:rFonts w:ascii="Times New Roman" w:hAnsi="Times New Roman" w:cs="Times New Roman"/>
          <w:sz w:val="24"/>
          <w:szCs w:val="24"/>
        </w:rPr>
        <w:t xml:space="preserve"> </w:t>
      </w:r>
      <w:r>
        <w:rPr>
          <w:rFonts w:ascii="Times New Roman" w:hAnsi="Times New Roman" w:cs="Times New Roman"/>
          <w:sz w:val="24"/>
          <w:szCs w:val="24"/>
        </w:rPr>
        <w:t>šetření zaměřené</w:t>
      </w:r>
      <w:r w:rsidRPr="00397A67">
        <w:rPr>
          <w:rFonts w:ascii="Times New Roman" w:hAnsi="Times New Roman" w:cs="Times New Roman"/>
          <w:sz w:val="24"/>
          <w:szCs w:val="24"/>
        </w:rPr>
        <w:t xml:space="preserve"> na zjištění potřeb a vyžití dětí a mládeže v Olomouci z pohledu rodičů</w:t>
      </w:r>
      <w:r w:rsidR="00033C54">
        <w:rPr>
          <w:rStyle w:val="Znakapoznpodarou"/>
          <w:rFonts w:ascii="Times New Roman" w:hAnsi="Times New Roman"/>
          <w:sz w:val="24"/>
          <w:szCs w:val="24"/>
        </w:rPr>
        <w:footnoteReference w:id="7"/>
      </w:r>
      <w:r w:rsidRPr="00397A67">
        <w:rPr>
          <w:rFonts w:ascii="Times New Roman" w:hAnsi="Times New Roman" w:cs="Times New Roman"/>
          <w:sz w:val="24"/>
          <w:szCs w:val="24"/>
        </w:rPr>
        <w:t xml:space="preserve">. </w:t>
      </w:r>
      <w:r w:rsidR="003C45EF" w:rsidRPr="00397A67">
        <w:rPr>
          <w:rFonts w:ascii="Times New Roman" w:hAnsi="Times New Roman" w:cs="Times New Roman"/>
          <w:sz w:val="24"/>
          <w:szCs w:val="24"/>
        </w:rPr>
        <w:t>Dotazování probíhalo výhradně formou online dotazníku.</w:t>
      </w:r>
      <w:r w:rsidR="003C45EF">
        <w:rPr>
          <w:rFonts w:ascii="Times New Roman" w:hAnsi="Times New Roman" w:cs="Times New Roman"/>
          <w:sz w:val="24"/>
          <w:szCs w:val="24"/>
        </w:rPr>
        <w:t xml:space="preserve"> </w:t>
      </w:r>
      <w:r>
        <w:rPr>
          <w:rFonts w:ascii="Times New Roman" w:hAnsi="Times New Roman" w:cs="Times New Roman"/>
          <w:sz w:val="24"/>
          <w:szCs w:val="24"/>
        </w:rPr>
        <w:t>Rodiče byli osloveni prostřednictvím ředitelů škol</w:t>
      </w:r>
      <w:r w:rsidR="003C45EF">
        <w:rPr>
          <w:rFonts w:ascii="Times New Roman" w:hAnsi="Times New Roman" w:cs="Times New Roman"/>
          <w:sz w:val="24"/>
          <w:szCs w:val="24"/>
        </w:rPr>
        <w:t xml:space="preserve">, odkaz na anketu byl zveřejněn na stránkách </w:t>
      </w:r>
      <w:hyperlink r:id="rId19" w:history="1">
        <w:r w:rsidR="003C45EF" w:rsidRPr="00F41E35">
          <w:rPr>
            <w:rStyle w:val="Hypertextovodkaz"/>
            <w:rFonts w:ascii="Times New Roman" w:hAnsi="Times New Roman"/>
            <w:sz w:val="24"/>
            <w:szCs w:val="24"/>
          </w:rPr>
          <w:t>www.olomouc.eu</w:t>
        </w:r>
      </w:hyperlink>
      <w:r w:rsidR="003C45EF">
        <w:rPr>
          <w:rFonts w:ascii="Times New Roman" w:hAnsi="Times New Roman" w:cs="Times New Roman"/>
          <w:sz w:val="24"/>
          <w:szCs w:val="24"/>
        </w:rPr>
        <w:t xml:space="preserve"> a prorodinu.olomouc.eu, na </w:t>
      </w:r>
      <w:proofErr w:type="spellStart"/>
      <w:r w:rsidR="003C45EF">
        <w:rPr>
          <w:rFonts w:ascii="Times New Roman" w:hAnsi="Times New Roman" w:cs="Times New Roman"/>
          <w:sz w:val="24"/>
          <w:szCs w:val="24"/>
        </w:rPr>
        <w:t>Facebooku</w:t>
      </w:r>
      <w:proofErr w:type="spellEnd"/>
      <w:r w:rsidR="003C45EF">
        <w:rPr>
          <w:rFonts w:ascii="Times New Roman" w:hAnsi="Times New Roman" w:cs="Times New Roman"/>
          <w:sz w:val="24"/>
          <w:szCs w:val="24"/>
        </w:rPr>
        <w:t xml:space="preserve"> města, v Olomouckých listech. </w:t>
      </w:r>
    </w:p>
    <w:p w:rsidR="00397A67" w:rsidRPr="00397A67" w:rsidRDefault="00397A67" w:rsidP="00FC18F7">
      <w:pPr>
        <w:spacing w:after="0"/>
        <w:rPr>
          <w:rFonts w:ascii="Times New Roman" w:hAnsi="Times New Roman" w:cs="Times New Roman"/>
          <w:sz w:val="24"/>
          <w:szCs w:val="24"/>
        </w:rPr>
      </w:pPr>
    </w:p>
    <w:p w:rsidR="00844246" w:rsidRDefault="00992897" w:rsidP="00FC18F7">
      <w:pPr>
        <w:spacing w:after="0"/>
        <w:rPr>
          <w:rFonts w:ascii="Times New Roman" w:hAnsi="Times New Roman" w:cs="Times New Roman"/>
          <w:sz w:val="24"/>
          <w:szCs w:val="24"/>
        </w:rPr>
      </w:pPr>
      <w:r>
        <w:rPr>
          <w:rFonts w:ascii="Times New Roman" w:hAnsi="Times New Roman" w:cs="Times New Roman"/>
          <w:sz w:val="24"/>
          <w:szCs w:val="24"/>
        </w:rPr>
        <w:t xml:space="preserve">Na anketu zareagovalo celkem 1 130 respondentů, z toho 95% bydlí v Olomouci, 80% tvoří ženy. 1-2 děti má 84% respondentů, 3 a více dětí 16%. </w:t>
      </w:r>
    </w:p>
    <w:p w:rsidR="005A286D" w:rsidRPr="00397A67" w:rsidRDefault="005A286D" w:rsidP="00FC18F7">
      <w:pPr>
        <w:spacing w:after="0"/>
        <w:rPr>
          <w:rFonts w:ascii="Times New Roman" w:hAnsi="Times New Roman" w:cs="Times New Roman"/>
          <w:sz w:val="24"/>
          <w:szCs w:val="24"/>
        </w:rPr>
      </w:pPr>
    </w:p>
    <w:p w:rsidR="00BD6137" w:rsidRDefault="00BD6137" w:rsidP="004A3002">
      <w:pPr>
        <w:rPr>
          <w:rFonts w:ascii="Times New Roman" w:hAnsi="Times New Roman" w:cs="Times New Roman"/>
          <w:sz w:val="24"/>
          <w:szCs w:val="24"/>
        </w:rPr>
      </w:pPr>
      <w:r>
        <w:rPr>
          <w:rFonts w:ascii="Times New Roman" w:hAnsi="Times New Roman" w:cs="Times New Roman"/>
          <w:sz w:val="24"/>
          <w:szCs w:val="24"/>
        </w:rPr>
        <w:t xml:space="preserve">Z dotazníkového šetření vyplývá, že rodiny čerpají informace o akcích a dění ve městě nejčastěji prostřednictvím sociálních sítí jako </w:t>
      </w:r>
      <w:r w:rsidRPr="00992897">
        <w:rPr>
          <w:rFonts w:ascii="Times New Roman" w:hAnsi="Times New Roman" w:cs="Times New Roman"/>
          <w:sz w:val="24"/>
          <w:szCs w:val="24"/>
        </w:rPr>
        <w:t xml:space="preserve">Facebook, </w:t>
      </w:r>
      <w:proofErr w:type="spellStart"/>
      <w:r w:rsidRPr="00992897">
        <w:rPr>
          <w:rFonts w:ascii="Times New Roman" w:hAnsi="Times New Roman" w:cs="Times New Roman"/>
          <w:sz w:val="24"/>
          <w:szCs w:val="24"/>
        </w:rPr>
        <w:t>Instagram</w:t>
      </w:r>
      <w:proofErr w:type="spellEnd"/>
      <w:r w:rsidRPr="00992897">
        <w:rPr>
          <w:rFonts w:ascii="Times New Roman" w:hAnsi="Times New Roman" w:cs="Times New Roman"/>
          <w:sz w:val="24"/>
          <w:szCs w:val="24"/>
        </w:rPr>
        <w:t xml:space="preserve">, </w:t>
      </w:r>
      <w:proofErr w:type="spellStart"/>
      <w:r w:rsidRPr="00992897">
        <w:rPr>
          <w:rFonts w:ascii="Times New Roman" w:hAnsi="Times New Roman" w:cs="Times New Roman"/>
          <w:sz w:val="24"/>
          <w:szCs w:val="24"/>
        </w:rPr>
        <w:t>Twitter</w:t>
      </w:r>
      <w:proofErr w:type="spellEnd"/>
      <w:r w:rsidRPr="00992897">
        <w:rPr>
          <w:rFonts w:ascii="Times New Roman" w:hAnsi="Times New Roman" w:cs="Times New Roman"/>
          <w:sz w:val="24"/>
          <w:szCs w:val="24"/>
        </w:rPr>
        <w:t xml:space="preserve"> atd.</w:t>
      </w:r>
      <w:r>
        <w:rPr>
          <w:rFonts w:ascii="Times New Roman" w:hAnsi="Times New Roman" w:cs="Times New Roman"/>
          <w:sz w:val="24"/>
          <w:szCs w:val="24"/>
        </w:rPr>
        <w:t xml:space="preserve">, dále od přátel a známých, či </w:t>
      </w:r>
      <w:r w:rsidR="006D2E40">
        <w:rPr>
          <w:rFonts w:ascii="Times New Roman" w:hAnsi="Times New Roman" w:cs="Times New Roman"/>
          <w:sz w:val="24"/>
          <w:szCs w:val="24"/>
        </w:rPr>
        <w:t xml:space="preserve">z </w:t>
      </w:r>
      <w:r w:rsidRPr="00992897">
        <w:rPr>
          <w:rFonts w:ascii="Times New Roman" w:hAnsi="Times New Roman" w:cs="Times New Roman"/>
          <w:sz w:val="24"/>
          <w:szCs w:val="24"/>
        </w:rPr>
        <w:t>internetov</w:t>
      </w:r>
      <w:r>
        <w:rPr>
          <w:rFonts w:ascii="Times New Roman" w:hAnsi="Times New Roman" w:cs="Times New Roman"/>
          <w:sz w:val="24"/>
          <w:szCs w:val="24"/>
        </w:rPr>
        <w:t>ých</w:t>
      </w:r>
      <w:r w:rsidRPr="00992897">
        <w:rPr>
          <w:rFonts w:ascii="Times New Roman" w:hAnsi="Times New Roman" w:cs="Times New Roman"/>
          <w:sz w:val="24"/>
          <w:szCs w:val="24"/>
        </w:rPr>
        <w:t xml:space="preserve"> strán</w:t>
      </w:r>
      <w:r>
        <w:rPr>
          <w:rFonts w:ascii="Times New Roman" w:hAnsi="Times New Roman" w:cs="Times New Roman"/>
          <w:sz w:val="24"/>
          <w:szCs w:val="24"/>
        </w:rPr>
        <w:t>ek</w:t>
      </w:r>
      <w:r w:rsidRPr="00992897">
        <w:rPr>
          <w:rFonts w:ascii="Times New Roman" w:hAnsi="Times New Roman" w:cs="Times New Roman"/>
          <w:sz w:val="24"/>
          <w:szCs w:val="24"/>
        </w:rPr>
        <w:t xml:space="preserve"> města, včetně podstránek</w:t>
      </w:r>
      <w:r>
        <w:rPr>
          <w:rFonts w:ascii="Times New Roman" w:hAnsi="Times New Roman" w:cs="Times New Roman"/>
          <w:sz w:val="24"/>
          <w:szCs w:val="24"/>
        </w:rPr>
        <w:t>.</w:t>
      </w:r>
    </w:p>
    <w:p w:rsidR="00810AFD" w:rsidRDefault="00BD6137" w:rsidP="004A3002">
      <w:pPr>
        <w:rPr>
          <w:rFonts w:ascii="Times New Roman" w:hAnsi="Times New Roman" w:cs="Times New Roman"/>
          <w:sz w:val="24"/>
          <w:szCs w:val="24"/>
        </w:rPr>
      </w:pPr>
      <w:r w:rsidRPr="00BD6137">
        <w:rPr>
          <w:rFonts w:ascii="Times New Roman" w:hAnsi="Times New Roman" w:cs="Times New Roman"/>
          <w:sz w:val="24"/>
          <w:szCs w:val="24"/>
        </w:rPr>
        <w:t>Na základě vý</w:t>
      </w:r>
      <w:r>
        <w:rPr>
          <w:rFonts w:ascii="Times New Roman" w:hAnsi="Times New Roman" w:cs="Times New Roman"/>
          <w:sz w:val="24"/>
          <w:szCs w:val="24"/>
        </w:rPr>
        <w:t xml:space="preserve">sledků dotazníkového šetření se </w:t>
      </w:r>
      <w:r w:rsidRPr="00BD6137">
        <w:rPr>
          <w:rFonts w:ascii="Times New Roman" w:hAnsi="Times New Roman" w:cs="Times New Roman"/>
          <w:sz w:val="24"/>
          <w:szCs w:val="24"/>
        </w:rPr>
        <w:t xml:space="preserve">ukázalo, že rodiny v Olomouci mají zájem o zlepšení veřejné infrastruktury a rozšíření nabídky volnočasových aktivit pro děti i mládež. Nejčastěji zmiňovaným požadavkem byla modernizace a rozšíření dětských hřišť, včetně instalace vodních prvků, zastínění herních ploch, veřejných toalet a </w:t>
      </w:r>
      <w:proofErr w:type="spellStart"/>
      <w:r w:rsidRPr="00BD6137">
        <w:rPr>
          <w:rFonts w:ascii="Times New Roman" w:hAnsi="Times New Roman" w:cs="Times New Roman"/>
          <w:sz w:val="24"/>
          <w:szCs w:val="24"/>
        </w:rPr>
        <w:t>pítkových</w:t>
      </w:r>
      <w:proofErr w:type="spellEnd"/>
      <w:r w:rsidRPr="00BD6137">
        <w:rPr>
          <w:rFonts w:ascii="Times New Roman" w:hAnsi="Times New Roman" w:cs="Times New Roman"/>
          <w:sz w:val="24"/>
          <w:szCs w:val="24"/>
        </w:rPr>
        <w:t xml:space="preserve"> fontánek. Dále byla zdůrazněna potřeba vybudování nových sportovišť a multifunkčních prostor pro starší děti a dospívající mládež, jako jsou skateparky, parkurová hřiště, </w:t>
      </w:r>
      <w:proofErr w:type="spellStart"/>
      <w:r w:rsidRPr="00BD6137">
        <w:rPr>
          <w:rFonts w:ascii="Times New Roman" w:hAnsi="Times New Roman" w:cs="Times New Roman"/>
          <w:sz w:val="24"/>
          <w:szCs w:val="24"/>
        </w:rPr>
        <w:t>pumptracky</w:t>
      </w:r>
      <w:proofErr w:type="spellEnd"/>
      <w:r w:rsidRPr="00BD6137">
        <w:rPr>
          <w:rFonts w:ascii="Times New Roman" w:hAnsi="Times New Roman" w:cs="Times New Roman"/>
          <w:sz w:val="24"/>
          <w:szCs w:val="24"/>
        </w:rPr>
        <w:t xml:space="preserve"> či </w:t>
      </w:r>
      <w:proofErr w:type="spellStart"/>
      <w:r w:rsidRPr="00BD6137">
        <w:rPr>
          <w:rFonts w:ascii="Times New Roman" w:hAnsi="Times New Roman" w:cs="Times New Roman"/>
          <w:sz w:val="24"/>
          <w:szCs w:val="24"/>
        </w:rPr>
        <w:t>workoutová</w:t>
      </w:r>
      <w:proofErr w:type="spellEnd"/>
      <w:r w:rsidRPr="00BD6137">
        <w:rPr>
          <w:rFonts w:ascii="Times New Roman" w:hAnsi="Times New Roman" w:cs="Times New Roman"/>
          <w:sz w:val="24"/>
          <w:szCs w:val="24"/>
        </w:rPr>
        <w:t xml:space="preserve"> centra. </w:t>
      </w:r>
    </w:p>
    <w:p w:rsidR="00BD6137" w:rsidRDefault="00BD6137" w:rsidP="004A3002">
      <w:pPr>
        <w:rPr>
          <w:rFonts w:ascii="Times New Roman" w:hAnsi="Times New Roman" w:cs="Times New Roman"/>
          <w:sz w:val="24"/>
          <w:szCs w:val="24"/>
        </w:rPr>
      </w:pPr>
      <w:r>
        <w:rPr>
          <w:rFonts w:ascii="Times New Roman" w:hAnsi="Times New Roman" w:cs="Times New Roman"/>
          <w:sz w:val="24"/>
          <w:szCs w:val="24"/>
        </w:rPr>
        <w:t xml:space="preserve">Mezi pozitivně hodnocené akce a opatření, které město Olomouc udělalo či dělá, patřilo vybudování náplavky, obecně akce pořádané v parcích a na náměstí. </w:t>
      </w:r>
      <w:r w:rsidRPr="002732AB">
        <w:rPr>
          <w:rFonts w:ascii="Times New Roman" w:hAnsi="Times New Roman" w:cs="Times New Roman"/>
          <w:sz w:val="24"/>
          <w:szCs w:val="24"/>
        </w:rPr>
        <w:t xml:space="preserve">Obyvatelé také ocenili Family Pointy, které zpříjemňují pobyt rodinám s malými dětmi ve městě. Dalším pozitivně hodnoceným krokem byla výstavba cyklostezek, a to především v centru města. </w:t>
      </w:r>
      <w:r>
        <w:rPr>
          <w:rFonts w:ascii="Times New Roman" w:hAnsi="Times New Roman" w:cs="Times New Roman"/>
          <w:sz w:val="24"/>
          <w:szCs w:val="24"/>
        </w:rPr>
        <w:t>J</w:t>
      </w:r>
      <w:r w:rsidRPr="002732AB">
        <w:rPr>
          <w:rFonts w:ascii="Times New Roman" w:hAnsi="Times New Roman" w:cs="Times New Roman"/>
          <w:sz w:val="24"/>
          <w:szCs w:val="24"/>
        </w:rPr>
        <w:t xml:space="preserve">ako </w:t>
      </w:r>
      <w:r w:rsidRPr="002732AB">
        <w:rPr>
          <w:rFonts w:ascii="Times New Roman" w:hAnsi="Times New Roman" w:cs="Times New Roman"/>
          <w:sz w:val="24"/>
          <w:szCs w:val="24"/>
        </w:rPr>
        <w:lastRenderedPageBreak/>
        <w:t xml:space="preserve">pozitivum </w:t>
      </w:r>
      <w:r>
        <w:rPr>
          <w:rFonts w:ascii="Times New Roman" w:hAnsi="Times New Roman" w:cs="Times New Roman"/>
          <w:sz w:val="24"/>
          <w:szCs w:val="24"/>
        </w:rPr>
        <w:t xml:space="preserve">respondenti vidí </w:t>
      </w:r>
      <w:r w:rsidRPr="002732AB">
        <w:rPr>
          <w:rFonts w:ascii="Times New Roman" w:hAnsi="Times New Roman" w:cs="Times New Roman"/>
          <w:sz w:val="24"/>
          <w:szCs w:val="24"/>
        </w:rPr>
        <w:t>zavedení MHD zdarma pro doprovod dětí do 3 let, což usnadňuje rodinám pohyb po městě</w:t>
      </w:r>
      <w:r>
        <w:rPr>
          <w:rFonts w:ascii="Times New Roman" w:hAnsi="Times New Roman" w:cs="Times New Roman"/>
          <w:sz w:val="24"/>
          <w:szCs w:val="24"/>
        </w:rPr>
        <w:t xml:space="preserve"> a Fond pomoci olomouckým dětem</w:t>
      </w:r>
      <w:r w:rsidRPr="002732AB">
        <w:rPr>
          <w:rFonts w:ascii="Times New Roman" w:hAnsi="Times New Roman" w:cs="Times New Roman"/>
          <w:sz w:val="24"/>
          <w:szCs w:val="24"/>
        </w:rPr>
        <w:t>.</w:t>
      </w:r>
    </w:p>
    <w:p w:rsidR="000D6AD5" w:rsidRDefault="002732AB" w:rsidP="004A3002">
      <w:pPr>
        <w:rPr>
          <w:rFonts w:ascii="Times New Roman" w:hAnsi="Times New Roman" w:cs="Times New Roman"/>
          <w:sz w:val="24"/>
          <w:szCs w:val="24"/>
        </w:rPr>
      </w:pPr>
      <w:r>
        <w:rPr>
          <w:rFonts w:ascii="Times New Roman" w:hAnsi="Times New Roman" w:cs="Times New Roman"/>
          <w:sz w:val="24"/>
          <w:szCs w:val="24"/>
        </w:rPr>
        <w:t xml:space="preserve">Na otázku, zda jsou nějaké aktivity v oblasti podpory rodiny, které by respondenti v Olomouci uvítali, </w:t>
      </w:r>
      <w:r w:rsidRPr="002732AB">
        <w:rPr>
          <w:rFonts w:ascii="Times New Roman" w:hAnsi="Times New Roman" w:cs="Times New Roman"/>
          <w:sz w:val="24"/>
          <w:szCs w:val="24"/>
        </w:rPr>
        <w:t>se vyslovili pro výstavbu nových sportovišť a dětských hřišť, nebo jejich modernizaci, aby byly atraktivnější a lépe vyhovovaly potřebám dětí všech věkových kategorií. Dále zazněla potřeba rozšíření cyklostezek, přičemž kladli důraz na jejich bezpečnost pro děti. Cyklostezky by měly být stále více součástí městské infrastruktury, aby poskytovaly bezpečné tra</w:t>
      </w:r>
      <w:r>
        <w:rPr>
          <w:rFonts w:ascii="Times New Roman" w:hAnsi="Times New Roman" w:cs="Times New Roman"/>
          <w:sz w:val="24"/>
          <w:szCs w:val="24"/>
        </w:rPr>
        <w:t>sy pro rodiny. V souvislosti s Family P</w:t>
      </w:r>
      <w:r w:rsidRPr="002732AB">
        <w:rPr>
          <w:rFonts w:ascii="Times New Roman" w:hAnsi="Times New Roman" w:cs="Times New Roman"/>
          <w:sz w:val="24"/>
          <w:szCs w:val="24"/>
        </w:rPr>
        <w:t>ointy bylo doporučeno jejich rozšiřování, prodloužení otvíracích dob a zvýšení informovanosti, protože mnoho rodin o této možnosti vůbec neví. V oblasti bezpečnosti se nejčastěji zmiňovali bezdomovci, kteří podle názorů respondentů negativně ovlivňují veřejné prostory, především v okolí hřišť a jiných rodinných lokalit. V neposlední řadě byla navržena možnost, aby MHD byla zdarma pro děti do vyššího věku, což by usnadnilo samotným dětem, ale i rodinám pohyb po městě a přístup k veřejným službám.</w:t>
      </w:r>
    </w:p>
    <w:p w:rsidR="002732AB" w:rsidRDefault="00FA5534" w:rsidP="00FA5534">
      <w:pPr>
        <w:pStyle w:val="Nadpis3"/>
      </w:pPr>
      <w:r>
        <w:t>2.3.4 Anketní šetření u seniorů</w:t>
      </w:r>
    </w:p>
    <w:p w:rsidR="00FA5534" w:rsidRDefault="00FA5534" w:rsidP="00FA5534">
      <w:pPr>
        <w:spacing w:after="0"/>
        <w:rPr>
          <w:rFonts w:ascii="Times New Roman" w:hAnsi="Times New Roman" w:cs="Times New Roman"/>
          <w:sz w:val="24"/>
          <w:szCs w:val="24"/>
        </w:rPr>
      </w:pPr>
    </w:p>
    <w:p w:rsidR="003C46E9" w:rsidRDefault="00B33DCE" w:rsidP="004A3002">
      <w:pPr>
        <w:rPr>
          <w:rFonts w:ascii="Times New Roman" w:hAnsi="Times New Roman" w:cs="Times New Roman"/>
          <w:sz w:val="24"/>
          <w:szCs w:val="24"/>
        </w:rPr>
      </w:pPr>
      <w:r w:rsidRPr="00B33DCE">
        <w:rPr>
          <w:rFonts w:ascii="Times New Roman" w:hAnsi="Times New Roman" w:cs="Times New Roman"/>
          <w:sz w:val="24"/>
          <w:szCs w:val="24"/>
        </w:rPr>
        <w:t xml:space="preserve">V průběhu měsíce října 2024 </w:t>
      </w:r>
      <w:r w:rsidR="003C46E9">
        <w:rPr>
          <w:rFonts w:ascii="Times New Roman" w:hAnsi="Times New Roman" w:cs="Times New Roman"/>
          <w:sz w:val="24"/>
          <w:szCs w:val="24"/>
        </w:rPr>
        <w:t>byl zrealizován průzkum zaměřený</w:t>
      </w:r>
      <w:r w:rsidRPr="00B33DCE">
        <w:rPr>
          <w:rFonts w:ascii="Times New Roman" w:hAnsi="Times New Roman" w:cs="Times New Roman"/>
          <w:sz w:val="24"/>
          <w:szCs w:val="24"/>
        </w:rPr>
        <w:t xml:space="preserve"> na zjištění potřeb a trávení volného času olomouckých seniorů</w:t>
      </w:r>
      <w:r w:rsidR="002A7393">
        <w:rPr>
          <w:rStyle w:val="Znakapoznpodarou"/>
          <w:rFonts w:ascii="Times New Roman" w:hAnsi="Times New Roman"/>
          <w:sz w:val="24"/>
          <w:szCs w:val="24"/>
        </w:rPr>
        <w:footnoteReference w:id="8"/>
      </w:r>
      <w:r w:rsidRPr="00B33DCE">
        <w:rPr>
          <w:rFonts w:ascii="Times New Roman" w:hAnsi="Times New Roman" w:cs="Times New Roman"/>
          <w:sz w:val="24"/>
          <w:szCs w:val="24"/>
        </w:rPr>
        <w:t xml:space="preserve">. Statutární město Olomouc pravidelně pořádá řadu aktivit pro seniory a potřebovalo si ověřit, zda je o ně zájem, zda se jich tato cílová skupina účastní, jestli se k ní včas dostávají nezbytné informace a jaké informační zdroje jsou nejvíce preferovány. Stejně tak mohli respondenti dát svá doporučení, návrhy na zlepšení, případně tipy na nové aktivity. </w:t>
      </w:r>
    </w:p>
    <w:p w:rsidR="00FA5534" w:rsidRDefault="00B33DCE" w:rsidP="004A3002">
      <w:pPr>
        <w:rPr>
          <w:rFonts w:ascii="Times New Roman" w:hAnsi="Times New Roman" w:cs="Times New Roman"/>
          <w:sz w:val="24"/>
          <w:szCs w:val="24"/>
        </w:rPr>
      </w:pPr>
      <w:r w:rsidRPr="00B33DCE">
        <w:rPr>
          <w:rFonts w:ascii="Times New Roman" w:hAnsi="Times New Roman" w:cs="Times New Roman"/>
          <w:sz w:val="24"/>
          <w:szCs w:val="24"/>
        </w:rPr>
        <w:t>Dotazníkové šetření probíhalo formou online dotazování</w:t>
      </w:r>
      <w:r w:rsidR="002A7393">
        <w:rPr>
          <w:rFonts w:ascii="Times New Roman" w:hAnsi="Times New Roman" w:cs="Times New Roman"/>
          <w:sz w:val="24"/>
          <w:szCs w:val="24"/>
        </w:rPr>
        <w:t>, tištěné dotazníky pak byly vložené do každého výtisku čtvrtletníku Olomoucký senior a na Informačním centru. V</w:t>
      </w:r>
      <w:r w:rsidRPr="00B33DCE">
        <w:rPr>
          <w:rFonts w:ascii="Times New Roman" w:hAnsi="Times New Roman" w:cs="Times New Roman"/>
          <w:sz w:val="24"/>
          <w:szCs w:val="24"/>
        </w:rPr>
        <w:t>yplněn</w:t>
      </w:r>
      <w:r w:rsidR="002A7393">
        <w:rPr>
          <w:rFonts w:ascii="Times New Roman" w:hAnsi="Times New Roman" w:cs="Times New Roman"/>
          <w:sz w:val="24"/>
          <w:szCs w:val="24"/>
        </w:rPr>
        <w:t>é</w:t>
      </w:r>
      <w:r w:rsidRPr="00B33DCE">
        <w:rPr>
          <w:rFonts w:ascii="Times New Roman" w:hAnsi="Times New Roman" w:cs="Times New Roman"/>
          <w:sz w:val="24"/>
          <w:szCs w:val="24"/>
        </w:rPr>
        <w:t xml:space="preserve"> dotazník</w:t>
      </w:r>
      <w:r w:rsidR="002A7393">
        <w:rPr>
          <w:rFonts w:ascii="Times New Roman" w:hAnsi="Times New Roman" w:cs="Times New Roman"/>
          <w:sz w:val="24"/>
          <w:szCs w:val="24"/>
        </w:rPr>
        <w:t>y bylo možné odevzdat</w:t>
      </w:r>
      <w:r w:rsidRPr="00B33DCE">
        <w:rPr>
          <w:rFonts w:ascii="Times New Roman" w:hAnsi="Times New Roman" w:cs="Times New Roman"/>
          <w:sz w:val="24"/>
          <w:szCs w:val="24"/>
        </w:rPr>
        <w:t xml:space="preserve"> do sběrného boxu v Informačním centru města Olomouce (v</w:t>
      </w:r>
      <w:r w:rsidR="009611C4">
        <w:rPr>
          <w:rFonts w:ascii="Times New Roman" w:hAnsi="Times New Roman" w:cs="Times New Roman"/>
          <w:sz w:val="24"/>
          <w:szCs w:val="24"/>
        </w:rPr>
        <w:t> </w:t>
      </w:r>
      <w:r w:rsidRPr="00B33DCE">
        <w:rPr>
          <w:rFonts w:ascii="Times New Roman" w:hAnsi="Times New Roman" w:cs="Times New Roman"/>
          <w:sz w:val="24"/>
          <w:szCs w:val="24"/>
        </w:rPr>
        <w:t>podloubí radnice) či v informačním centru v přízemí budovy Magistrátu města Olomouce, odboru sociálních věcí (Štursova 1</w:t>
      </w:r>
      <w:r w:rsidR="003C46E9">
        <w:rPr>
          <w:rFonts w:ascii="Times New Roman" w:hAnsi="Times New Roman" w:cs="Times New Roman"/>
          <w:sz w:val="24"/>
          <w:szCs w:val="24"/>
        </w:rPr>
        <w:t xml:space="preserve">). </w:t>
      </w:r>
    </w:p>
    <w:p w:rsidR="003C46E9" w:rsidRPr="003C46E9" w:rsidRDefault="003C46E9" w:rsidP="004A3002">
      <w:pPr>
        <w:rPr>
          <w:rFonts w:ascii="Times New Roman" w:hAnsi="Times New Roman" w:cs="Times New Roman"/>
          <w:sz w:val="24"/>
          <w:szCs w:val="24"/>
        </w:rPr>
      </w:pPr>
      <w:r w:rsidRPr="003C46E9">
        <w:rPr>
          <w:rFonts w:ascii="Times New Roman" w:hAnsi="Times New Roman" w:cs="Times New Roman"/>
          <w:sz w:val="24"/>
          <w:szCs w:val="24"/>
        </w:rPr>
        <w:t>Dotazník vyplnilo 344 respondentů. Naprostá většina všech respondentů ve městě bydlí (93,6</w:t>
      </w:r>
      <w:r w:rsidR="009611C4">
        <w:rPr>
          <w:rFonts w:ascii="Times New Roman" w:hAnsi="Times New Roman" w:cs="Times New Roman"/>
          <w:sz w:val="24"/>
          <w:szCs w:val="24"/>
        </w:rPr>
        <w:t> </w:t>
      </w:r>
      <w:r w:rsidRPr="003C46E9">
        <w:rPr>
          <w:rFonts w:ascii="Times New Roman" w:hAnsi="Times New Roman" w:cs="Times New Roman"/>
          <w:sz w:val="24"/>
          <w:szCs w:val="24"/>
        </w:rPr>
        <w:t>%), pouze 6,4 % uvedlo, že bydlí mimo Olomouc. Z hlediska pohlaví byly podle očekávání více zastoupeny ženy (81,98 %), muži tvořili 18,02 % respondentů.</w:t>
      </w:r>
    </w:p>
    <w:p w:rsidR="003C46E9" w:rsidRDefault="006F4087" w:rsidP="004A3002">
      <w:pPr>
        <w:rPr>
          <w:rFonts w:ascii="Times New Roman" w:hAnsi="Times New Roman" w:cs="Times New Roman"/>
          <w:sz w:val="24"/>
          <w:szCs w:val="24"/>
        </w:rPr>
      </w:pPr>
      <w:r w:rsidRPr="006F4087">
        <w:rPr>
          <w:rFonts w:ascii="Times New Roman" w:hAnsi="Times New Roman" w:cs="Times New Roman"/>
          <w:sz w:val="24"/>
          <w:szCs w:val="24"/>
        </w:rPr>
        <w:t xml:space="preserve">Naprostá většina </w:t>
      </w:r>
      <w:r>
        <w:rPr>
          <w:rFonts w:ascii="Times New Roman" w:hAnsi="Times New Roman" w:cs="Times New Roman"/>
          <w:sz w:val="24"/>
          <w:szCs w:val="24"/>
        </w:rPr>
        <w:t>respondentů</w:t>
      </w:r>
      <w:r w:rsidRPr="006F4087">
        <w:rPr>
          <w:rFonts w:ascii="Times New Roman" w:hAnsi="Times New Roman" w:cs="Times New Roman"/>
          <w:sz w:val="24"/>
          <w:szCs w:val="24"/>
        </w:rPr>
        <w:t xml:space="preserve"> (97,67 %) se zajímá o aktivity a možnosti, které jim město Olomouc nabízí, a 82,85 % alespoň čtyřikrát ročně nějakou kulturní, sportovní nebo společenskou akci ve městě navštíví.</w:t>
      </w:r>
      <w:r>
        <w:rPr>
          <w:rFonts w:ascii="Times New Roman" w:hAnsi="Times New Roman" w:cs="Times New Roman"/>
          <w:sz w:val="24"/>
          <w:szCs w:val="24"/>
        </w:rPr>
        <w:t xml:space="preserve"> O akcích a dění ve městě respondenti nejčastěji </w:t>
      </w:r>
      <w:r w:rsidR="00641636">
        <w:rPr>
          <w:rFonts w:ascii="Times New Roman" w:hAnsi="Times New Roman" w:cs="Times New Roman"/>
          <w:sz w:val="24"/>
          <w:szCs w:val="24"/>
        </w:rPr>
        <w:t xml:space="preserve">získávají </w:t>
      </w:r>
      <w:r>
        <w:rPr>
          <w:rFonts w:ascii="Times New Roman" w:hAnsi="Times New Roman" w:cs="Times New Roman"/>
          <w:sz w:val="24"/>
          <w:szCs w:val="24"/>
        </w:rPr>
        <w:t>informace z časopisů Olomoucké listy, Olomoucký senior či Moravský senior, dále od rodiny, přátel a známých.</w:t>
      </w:r>
    </w:p>
    <w:p w:rsidR="00B94229" w:rsidRPr="00561885" w:rsidRDefault="00561885" w:rsidP="004A3002">
      <w:pPr>
        <w:rPr>
          <w:rFonts w:ascii="Times New Roman" w:hAnsi="Times New Roman" w:cs="Times New Roman"/>
          <w:sz w:val="24"/>
          <w:szCs w:val="24"/>
        </w:rPr>
      </w:pPr>
      <w:r w:rsidRPr="00561885">
        <w:rPr>
          <w:rFonts w:ascii="Times New Roman" w:hAnsi="Times New Roman" w:cs="Times New Roman"/>
          <w:sz w:val="24"/>
          <w:szCs w:val="24"/>
        </w:rPr>
        <w:t>Senioři nejčastěji v Olomouci navštěvují akce na náměstí (18,98 %), a dále jednotlivé kulturní akce či instituce – kino (16,76 %), divadlo (15,99 %), koncerty (13,39 %) a výstavy (12,52</w:t>
      </w:r>
      <w:r w:rsidR="009611C4">
        <w:rPr>
          <w:rFonts w:ascii="Times New Roman" w:hAnsi="Times New Roman" w:cs="Times New Roman"/>
          <w:sz w:val="24"/>
          <w:szCs w:val="24"/>
        </w:rPr>
        <w:t> </w:t>
      </w:r>
      <w:r w:rsidRPr="00561885">
        <w:rPr>
          <w:rFonts w:ascii="Times New Roman" w:hAnsi="Times New Roman" w:cs="Times New Roman"/>
          <w:sz w:val="24"/>
          <w:szCs w:val="24"/>
        </w:rPr>
        <w:t>%).</w:t>
      </w:r>
    </w:p>
    <w:p w:rsidR="00561885" w:rsidRPr="00561885" w:rsidRDefault="00561885" w:rsidP="004A3002">
      <w:pPr>
        <w:rPr>
          <w:rFonts w:ascii="Times New Roman" w:hAnsi="Times New Roman" w:cs="Times New Roman"/>
          <w:sz w:val="24"/>
          <w:szCs w:val="24"/>
        </w:rPr>
      </w:pPr>
      <w:r w:rsidRPr="00561885">
        <w:rPr>
          <w:rFonts w:ascii="Times New Roman" w:hAnsi="Times New Roman" w:cs="Times New Roman"/>
          <w:sz w:val="24"/>
          <w:szCs w:val="24"/>
        </w:rPr>
        <w:lastRenderedPageBreak/>
        <w:t xml:space="preserve">Město Olomouc by se při inspiraci podle respondentů </w:t>
      </w:r>
      <w:r w:rsidR="00200D1E" w:rsidRPr="00561885">
        <w:rPr>
          <w:rFonts w:ascii="Times New Roman" w:hAnsi="Times New Roman" w:cs="Times New Roman"/>
          <w:sz w:val="24"/>
          <w:szCs w:val="24"/>
        </w:rPr>
        <w:t xml:space="preserve">mělo </w:t>
      </w:r>
      <w:r w:rsidRPr="00561885">
        <w:rPr>
          <w:rFonts w:ascii="Times New Roman" w:hAnsi="Times New Roman" w:cs="Times New Roman"/>
          <w:sz w:val="24"/>
          <w:szCs w:val="24"/>
        </w:rPr>
        <w:t>zaměřit na vzájemné setkávání a spolupráci (mezi jednotlivými kluby pro seniory, kluby z jiných měst) či propojení seniorů s mladšími ročníky.</w:t>
      </w:r>
    </w:p>
    <w:p w:rsidR="00561885" w:rsidRDefault="00561885" w:rsidP="004A3002">
      <w:pPr>
        <w:spacing w:after="0"/>
        <w:rPr>
          <w:rFonts w:ascii="Times New Roman" w:hAnsi="Times New Roman" w:cs="Times New Roman"/>
          <w:sz w:val="24"/>
          <w:szCs w:val="24"/>
        </w:rPr>
      </w:pPr>
      <w:r w:rsidRPr="00561885">
        <w:rPr>
          <w:rFonts w:ascii="Times New Roman" w:hAnsi="Times New Roman" w:cs="Times New Roman"/>
          <w:sz w:val="24"/>
          <w:szCs w:val="24"/>
        </w:rPr>
        <w:t>Z volnočasových aktivit mají senioři nejvíce zájem o pořádání jednodenních výletů a poznávacích zájezdů, přednášek a besed (hlavně o</w:t>
      </w:r>
      <w:r w:rsidR="00200D1E">
        <w:rPr>
          <w:rFonts w:ascii="Times New Roman" w:hAnsi="Times New Roman" w:cs="Times New Roman"/>
          <w:sz w:val="24"/>
          <w:szCs w:val="24"/>
        </w:rPr>
        <w:t xml:space="preserve"> zdraví a zdravém životním stylu</w:t>
      </w:r>
      <w:r w:rsidRPr="00561885">
        <w:rPr>
          <w:rFonts w:ascii="Times New Roman" w:hAnsi="Times New Roman" w:cs="Times New Roman"/>
          <w:sz w:val="24"/>
          <w:szCs w:val="24"/>
        </w:rPr>
        <w:t>, cestování, historii, umění a bezpečí), koncertů (známých/ populárních umělců, country hudby, folkové hudby, klasické hudby a folkloru) a v neposlední řadě i pohybových aktivit (tan</w:t>
      </w:r>
      <w:r w:rsidR="00200D1E">
        <w:rPr>
          <w:rFonts w:ascii="Times New Roman" w:hAnsi="Times New Roman" w:cs="Times New Roman"/>
          <w:sz w:val="24"/>
          <w:szCs w:val="24"/>
        </w:rPr>
        <w:t>ec, sport</w:t>
      </w:r>
      <w:r w:rsidRPr="00561885">
        <w:rPr>
          <w:rFonts w:ascii="Times New Roman" w:hAnsi="Times New Roman" w:cs="Times New Roman"/>
          <w:sz w:val="24"/>
          <w:szCs w:val="24"/>
        </w:rPr>
        <w:t>, procház</w:t>
      </w:r>
      <w:r w:rsidR="00200D1E">
        <w:rPr>
          <w:rFonts w:ascii="Times New Roman" w:hAnsi="Times New Roman" w:cs="Times New Roman"/>
          <w:sz w:val="24"/>
          <w:szCs w:val="24"/>
        </w:rPr>
        <w:t>ky</w:t>
      </w:r>
      <w:r w:rsidRPr="00561885">
        <w:rPr>
          <w:rFonts w:ascii="Times New Roman" w:hAnsi="Times New Roman" w:cs="Times New Roman"/>
          <w:sz w:val="24"/>
          <w:szCs w:val="24"/>
        </w:rPr>
        <w:t>, turistik</w:t>
      </w:r>
      <w:r w:rsidR="00200D1E">
        <w:rPr>
          <w:rFonts w:ascii="Times New Roman" w:hAnsi="Times New Roman" w:cs="Times New Roman"/>
          <w:sz w:val="24"/>
          <w:szCs w:val="24"/>
        </w:rPr>
        <w:t>a a další</w:t>
      </w:r>
      <w:r w:rsidRPr="00561885">
        <w:rPr>
          <w:rFonts w:ascii="Times New Roman" w:hAnsi="Times New Roman" w:cs="Times New Roman"/>
          <w:sz w:val="24"/>
          <w:szCs w:val="24"/>
        </w:rPr>
        <w:t>).</w:t>
      </w:r>
    </w:p>
    <w:p w:rsidR="00033C54" w:rsidRDefault="00033C54" w:rsidP="005A286D">
      <w:pPr>
        <w:pStyle w:val="Nadpis3"/>
      </w:pPr>
      <w:r>
        <w:t>2.3.5 Anketní šetření u mládeže</w:t>
      </w:r>
    </w:p>
    <w:p w:rsidR="005A286D" w:rsidRDefault="005A286D" w:rsidP="005A286D">
      <w:pPr>
        <w:spacing w:after="0"/>
        <w:rPr>
          <w:rFonts w:ascii="Times New Roman" w:hAnsi="Times New Roman" w:cs="Times New Roman"/>
          <w:sz w:val="24"/>
          <w:szCs w:val="24"/>
        </w:rPr>
      </w:pPr>
    </w:p>
    <w:p w:rsidR="001B759A" w:rsidRDefault="001B759A" w:rsidP="004A3002">
      <w:pPr>
        <w:rPr>
          <w:rFonts w:ascii="Times New Roman" w:hAnsi="Times New Roman" w:cs="Times New Roman"/>
          <w:sz w:val="24"/>
          <w:szCs w:val="24"/>
        </w:rPr>
      </w:pPr>
      <w:r>
        <w:rPr>
          <w:rFonts w:ascii="Times New Roman" w:hAnsi="Times New Roman" w:cs="Times New Roman"/>
          <w:sz w:val="24"/>
          <w:szCs w:val="24"/>
        </w:rPr>
        <w:t xml:space="preserve">Trávení volného času hraje klíčovou roli v životě dětí a mládeže, proto vznikla potřeba získat detailní přehled o způsobech trávení volného času dětí navštěvujících základní a střední školy. </w:t>
      </w:r>
      <w:r w:rsidR="00E57EF6" w:rsidRPr="00E57EF6">
        <w:rPr>
          <w:rFonts w:ascii="Times New Roman" w:hAnsi="Times New Roman" w:cs="Times New Roman"/>
          <w:sz w:val="24"/>
          <w:szCs w:val="24"/>
        </w:rPr>
        <w:t>Výzkum</w:t>
      </w:r>
      <w:r w:rsidR="00E57EF6">
        <w:rPr>
          <w:rStyle w:val="Znakapoznpodarou"/>
          <w:rFonts w:ascii="Times New Roman" w:hAnsi="Times New Roman"/>
          <w:sz w:val="24"/>
          <w:szCs w:val="24"/>
        </w:rPr>
        <w:footnoteReference w:id="9"/>
      </w:r>
      <w:r w:rsidR="00E57EF6" w:rsidRPr="00E57EF6">
        <w:rPr>
          <w:rFonts w:ascii="Times New Roman" w:hAnsi="Times New Roman" w:cs="Times New Roman"/>
          <w:sz w:val="24"/>
          <w:szCs w:val="24"/>
        </w:rPr>
        <w:t xml:space="preserve"> se zaměřil na identifikaci hlavních vzorců trávení volného času, včetně typů aktivit, míry jejich organizovanosti a sociálního kontextu. Byly zkoumány otázky jako nejčastější volnočasové aktivity (např. pohybové aktivity, hry na počítači, sociální sítě či tvůrčí činnost), osoby, se kterými děti </w:t>
      </w:r>
      <w:r w:rsidR="00851279">
        <w:rPr>
          <w:rFonts w:ascii="Times New Roman" w:hAnsi="Times New Roman" w:cs="Times New Roman"/>
          <w:sz w:val="24"/>
          <w:szCs w:val="24"/>
        </w:rPr>
        <w:t xml:space="preserve">a mládež </w:t>
      </w:r>
      <w:r w:rsidR="0027794D" w:rsidRPr="00E57EF6">
        <w:rPr>
          <w:rFonts w:ascii="Times New Roman" w:hAnsi="Times New Roman" w:cs="Times New Roman"/>
          <w:sz w:val="24"/>
          <w:szCs w:val="24"/>
        </w:rPr>
        <w:t xml:space="preserve">tráví </w:t>
      </w:r>
      <w:r w:rsidR="00E57EF6" w:rsidRPr="00E57EF6">
        <w:rPr>
          <w:rFonts w:ascii="Times New Roman" w:hAnsi="Times New Roman" w:cs="Times New Roman"/>
          <w:sz w:val="24"/>
          <w:szCs w:val="24"/>
        </w:rPr>
        <w:t>volný čas, a místa, kde se tyto aktivity odehrávají (doma, v</w:t>
      </w:r>
      <w:r w:rsidR="009611C4">
        <w:rPr>
          <w:rFonts w:ascii="Times New Roman" w:hAnsi="Times New Roman" w:cs="Times New Roman"/>
          <w:sz w:val="24"/>
          <w:szCs w:val="24"/>
        </w:rPr>
        <w:t>e veřejném prostoru v</w:t>
      </w:r>
      <w:r w:rsidR="00E57EF6" w:rsidRPr="00E57EF6">
        <w:rPr>
          <w:rFonts w:ascii="Times New Roman" w:hAnsi="Times New Roman" w:cs="Times New Roman"/>
          <w:sz w:val="24"/>
          <w:szCs w:val="24"/>
        </w:rPr>
        <w:t xml:space="preserve"> Olomouci či mimo něj). Dále se výzkum zabýval subjektivními představami dětí </w:t>
      </w:r>
      <w:r w:rsidR="00851279">
        <w:rPr>
          <w:rFonts w:ascii="Times New Roman" w:hAnsi="Times New Roman" w:cs="Times New Roman"/>
          <w:sz w:val="24"/>
          <w:szCs w:val="24"/>
        </w:rPr>
        <w:t xml:space="preserve">a mládeže </w:t>
      </w:r>
      <w:r w:rsidR="00E57EF6" w:rsidRPr="00E57EF6">
        <w:rPr>
          <w:rFonts w:ascii="Times New Roman" w:hAnsi="Times New Roman" w:cs="Times New Roman"/>
          <w:sz w:val="24"/>
          <w:szCs w:val="24"/>
        </w:rPr>
        <w:t>o trávení volného času a bariérami, které jim brání tyto představy naplnit.</w:t>
      </w:r>
    </w:p>
    <w:p w:rsidR="00E57EF6" w:rsidRDefault="00E57EF6" w:rsidP="004A3002">
      <w:pPr>
        <w:rPr>
          <w:rFonts w:ascii="Times New Roman" w:hAnsi="Times New Roman" w:cs="Times New Roman"/>
          <w:sz w:val="24"/>
          <w:szCs w:val="24"/>
        </w:rPr>
      </w:pPr>
      <w:r>
        <w:rPr>
          <w:rFonts w:ascii="Times New Roman" w:hAnsi="Times New Roman" w:cs="Times New Roman"/>
          <w:sz w:val="24"/>
          <w:szCs w:val="24"/>
        </w:rPr>
        <w:t>Do výzkumu se zapojilo</w:t>
      </w:r>
      <w:r w:rsidRPr="00E57EF6">
        <w:rPr>
          <w:rFonts w:ascii="Times New Roman" w:hAnsi="Times New Roman" w:cs="Times New Roman"/>
          <w:sz w:val="24"/>
          <w:szCs w:val="24"/>
        </w:rPr>
        <w:t xml:space="preserve"> 3 899 respondentů</w:t>
      </w:r>
      <w:r>
        <w:rPr>
          <w:rFonts w:ascii="Times New Roman" w:hAnsi="Times New Roman" w:cs="Times New Roman"/>
          <w:sz w:val="24"/>
          <w:szCs w:val="24"/>
        </w:rPr>
        <w:t xml:space="preserve"> ve věku 10-19 let, c</w:t>
      </w:r>
      <w:r w:rsidRPr="00E57EF6">
        <w:rPr>
          <w:rFonts w:ascii="Times New Roman" w:hAnsi="Times New Roman" w:cs="Times New Roman"/>
          <w:sz w:val="24"/>
          <w:szCs w:val="24"/>
        </w:rPr>
        <w:t>ílovou skupin</w:t>
      </w:r>
      <w:r>
        <w:rPr>
          <w:rFonts w:ascii="Times New Roman" w:hAnsi="Times New Roman" w:cs="Times New Roman"/>
          <w:sz w:val="24"/>
          <w:szCs w:val="24"/>
        </w:rPr>
        <w:t>o</w:t>
      </w:r>
      <w:r w:rsidRPr="00E57EF6">
        <w:rPr>
          <w:rFonts w:ascii="Times New Roman" w:hAnsi="Times New Roman" w:cs="Times New Roman"/>
          <w:sz w:val="24"/>
          <w:szCs w:val="24"/>
        </w:rPr>
        <w:t xml:space="preserve">u </w:t>
      </w:r>
      <w:r>
        <w:rPr>
          <w:rFonts w:ascii="Times New Roman" w:hAnsi="Times New Roman" w:cs="Times New Roman"/>
          <w:sz w:val="24"/>
          <w:szCs w:val="24"/>
        </w:rPr>
        <w:t xml:space="preserve">byli </w:t>
      </w:r>
      <w:r w:rsidRPr="00E57EF6">
        <w:rPr>
          <w:rFonts w:ascii="Times New Roman" w:hAnsi="Times New Roman" w:cs="Times New Roman"/>
          <w:sz w:val="24"/>
          <w:szCs w:val="24"/>
        </w:rPr>
        <w:t xml:space="preserve">žáci 5. až 9. tříd základních škol a </w:t>
      </w:r>
      <w:r>
        <w:rPr>
          <w:rFonts w:ascii="Times New Roman" w:hAnsi="Times New Roman" w:cs="Times New Roman"/>
          <w:sz w:val="24"/>
          <w:szCs w:val="24"/>
        </w:rPr>
        <w:t xml:space="preserve">studenti </w:t>
      </w:r>
      <w:r w:rsidRPr="00E57EF6">
        <w:rPr>
          <w:rFonts w:ascii="Times New Roman" w:hAnsi="Times New Roman" w:cs="Times New Roman"/>
          <w:sz w:val="24"/>
          <w:szCs w:val="24"/>
        </w:rPr>
        <w:t>1. až 4. ročníků středních škol.</w:t>
      </w:r>
      <w:r>
        <w:rPr>
          <w:rFonts w:ascii="Times New Roman" w:hAnsi="Times New Roman" w:cs="Times New Roman"/>
          <w:sz w:val="24"/>
          <w:szCs w:val="24"/>
        </w:rPr>
        <w:t xml:space="preserve"> </w:t>
      </w:r>
      <w:r w:rsidRPr="00E57EF6">
        <w:rPr>
          <w:rFonts w:ascii="Times New Roman" w:hAnsi="Times New Roman" w:cs="Times New Roman"/>
          <w:sz w:val="24"/>
          <w:szCs w:val="24"/>
        </w:rPr>
        <w:t xml:space="preserve">Sběr dat probíhal v období listopadu a prosince 2024 prostřednictvím online dotazníkového systému </w:t>
      </w:r>
      <w:proofErr w:type="spellStart"/>
      <w:r w:rsidRPr="00E57EF6">
        <w:rPr>
          <w:rFonts w:ascii="Times New Roman" w:hAnsi="Times New Roman" w:cs="Times New Roman"/>
          <w:sz w:val="24"/>
          <w:szCs w:val="24"/>
        </w:rPr>
        <w:t>Questback</w:t>
      </w:r>
      <w:proofErr w:type="spellEnd"/>
      <w:r w:rsidRPr="00E57EF6">
        <w:rPr>
          <w:rFonts w:ascii="Times New Roman" w:hAnsi="Times New Roman" w:cs="Times New Roman"/>
          <w:sz w:val="24"/>
          <w:szCs w:val="24"/>
        </w:rPr>
        <w:t xml:space="preserve">. Respondenti byli </w:t>
      </w:r>
      <w:r w:rsidR="009611C4">
        <w:rPr>
          <w:rFonts w:ascii="Times New Roman" w:hAnsi="Times New Roman" w:cs="Times New Roman"/>
          <w:sz w:val="24"/>
          <w:szCs w:val="24"/>
        </w:rPr>
        <w:t xml:space="preserve">mj. </w:t>
      </w:r>
      <w:r w:rsidRPr="00E57EF6">
        <w:rPr>
          <w:rFonts w:ascii="Times New Roman" w:hAnsi="Times New Roman" w:cs="Times New Roman"/>
          <w:sz w:val="24"/>
          <w:szCs w:val="24"/>
        </w:rPr>
        <w:t xml:space="preserve">osloveni přímo ve školách během vyučování, což zajistilo vysokou návratnost odpovědí. </w:t>
      </w:r>
    </w:p>
    <w:p w:rsidR="00E57EF6" w:rsidRDefault="00E57EF6" w:rsidP="004A3002">
      <w:pPr>
        <w:rPr>
          <w:rFonts w:ascii="Times New Roman" w:hAnsi="Times New Roman" w:cs="Times New Roman"/>
          <w:sz w:val="24"/>
          <w:szCs w:val="24"/>
        </w:rPr>
      </w:pPr>
      <w:r w:rsidRPr="00E57EF6">
        <w:rPr>
          <w:rFonts w:ascii="Times New Roman" w:hAnsi="Times New Roman" w:cs="Times New Roman"/>
          <w:sz w:val="24"/>
          <w:szCs w:val="24"/>
        </w:rPr>
        <w:t xml:space="preserve">Hlavní rozdíly v trávení volného času byly identifikovány mezi chlapci a dívkami i mezi věkovými kategoriemi. Chlapci častěji tráví čas hraním her a pohybovými aktivitami, zatímco dívky více preferují sociální sítě, čtení a přípravu do školy. S věkem dochází k posunu od organizovaných kroužků k samostatným aktivitám a sociálním interakcím. </w:t>
      </w:r>
    </w:p>
    <w:p w:rsidR="00E57EF6" w:rsidRDefault="00E57EF6" w:rsidP="004A3002">
      <w:pPr>
        <w:rPr>
          <w:rFonts w:ascii="Times New Roman" w:hAnsi="Times New Roman" w:cs="Times New Roman"/>
          <w:sz w:val="24"/>
          <w:szCs w:val="24"/>
        </w:rPr>
      </w:pPr>
      <w:r w:rsidRPr="00E57EF6">
        <w:rPr>
          <w:rFonts w:ascii="Times New Roman" w:hAnsi="Times New Roman" w:cs="Times New Roman"/>
          <w:sz w:val="24"/>
          <w:szCs w:val="24"/>
        </w:rPr>
        <w:t xml:space="preserve">Většina </w:t>
      </w:r>
      <w:r>
        <w:rPr>
          <w:rFonts w:ascii="Times New Roman" w:hAnsi="Times New Roman" w:cs="Times New Roman"/>
          <w:sz w:val="24"/>
          <w:szCs w:val="24"/>
        </w:rPr>
        <w:t>respondentů</w:t>
      </w:r>
      <w:r w:rsidRPr="00E57EF6">
        <w:rPr>
          <w:rFonts w:ascii="Times New Roman" w:hAnsi="Times New Roman" w:cs="Times New Roman"/>
          <w:sz w:val="24"/>
          <w:szCs w:val="24"/>
        </w:rPr>
        <w:t xml:space="preserve"> je spokojena s trávením svého volného času. Spokojenost je vyšší u chlapců a mladších dětí, zatímco u starších dívek spokojenost klesá. Hlavní bariéry zahrnují časová omezení (zejména školní povinnosti), finanční náklady a nedostatek vhodných míst pro volnočasové aktivity. Většina </w:t>
      </w:r>
      <w:r>
        <w:rPr>
          <w:rFonts w:ascii="Times New Roman" w:hAnsi="Times New Roman" w:cs="Times New Roman"/>
          <w:sz w:val="24"/>
          <w:szCs w:val="24"/>
        </w:rPr>
        <w:t>respondentů</w:t>
      </w:r>
      <w:r w:rsidRPr="00E57EF6">
        <w:rPr>
          <w:rFonts w:ascii="Times New Roman" w:hAnsi="Times New Roman" w:cs="Times New Roman"/>
          <w:sz w:val="24"/>
          <w:szCs w:val="24"/>
        </w:rPr>
        <w:t xml:space="preserve"> hodnotí podmínky pro trávení volného času pozitivně a v Olomouci jim nic nechybí. Otevřené odpovědi identifikovaly 15 tematických </w:t>
      </w:r>
      <w:r w:rsidR="009611C4">
        <w:rPr>
          <w:rFonts w:ascii="Times New Roman" w:hAnsi="Times New Roman" w:cs="Times New Roman"/>
          <w:sz w:val="24"/>
          <w:szCs w:val="24"/>
        </w:rPr>
        <w:t xml:space="preserve">oblastí </w:t>
      </w:r>
      <w:r w:rsidRPr="00E57EF6">
        <w:rPr>
          <w:rFonts w:ascii="Times New Roman" w:hAnsi="Times New Roman" w:cs="Times New Roman"/>
          <w:sz w:val="24"/>
          <w:szCs w:val="24"/>
        </w:rPr>
        <w:t>potřeb, z nichž nejvýznamnější byly sportovní infrastruktura, volnočasové aktivity a prostory pro mladé, obchody a služby, doprava a mobilita a příroda</w:t>
      </w:r>
      <w:r w:rsidR="00917CFA">
        <w:rPr>
          <w:rFonts w:ascii="Times New Roman" w:hAnsi="Times New Roman" w:cs="Times New Roman"/>
          <w:sz w:val="24"/>
          <w:szCs w:val="24"/>
        </w:rPr>
        <w:t xml:space="preserve"> jako</w:t>
      </w:r>
      <w:r w:rsidRPr="00E57EF6">
        <w:rPr>
          <w:rFonts w:ascii="Times New Roman" w:hAnsi="Times New Roman" w:cs="Times New Roman"/>
          <w:sz w:val="24"/>
          <w:szCs w:val="24"/>
        </w:rPr>
        <w:t xml:space="preserve"> míst</w:t>
      </w:r>
      <w:r w:rsidR="00917CFA">
        <w:rPr>
          <w:rFonts w:ascii="Times New Roman" w:hAnsi="Times New Roman" w:cs="Times New Roman"/>
          <w:sz w:val="24"/>
          <w:szCs w:val="24"/>
        </w:rPr>
        <w:t>o</w:t>
      </w:r>
      <w:r w:rsidRPr="00E57EF6">
        <w:rPr>
          <w:rFonts w:ascii="Times New Roman" w:hAnsi="Times New Roman" w:cs="Times New Roman"/>
          <w:sz w:val="24"/>
          <w:szCs w:val="24"/>
        </w:rPr>
        <w:t xml:space="preserve"> pro rekreaci. </w:t>
      </w:r>
    </w:p>
    <w:p w:rsidR="00E57EF6" w:rsidRDefault="00E57EF6" w:rsidP="004A3002">
      <w:pPr>
        <w:rPr>
          <w:rFonts w:ascii="Times New Roman" w:hAnsi="Times New Roman" w:cs="Times New Roman"/>
          <w:sz w:val="24"/>
          <w:szCs w:val="24"/>
        </w:rPr>
      </w:pPr>
      <w:r w:rsidRPr="00E57EF6">
        <w:rPr>
          <w:rFonts w:ascii="Times New Roman" w:hAnsi="Times New Roman" w:cs="Times New Roman"/>
          <w:sz w:val="24"/>
          <w:szCs w:val="24"/>
        </w:rPr>
        <w:t xml:space="preserve">Většina </w:t>
      </w:r>
      <w:r w:rsidR="00917CFA">
        <w:rPr>
          <w:rFonts w:ascii="Times New Roman" w:hAnsi="Times New Roman" w:cs="Times New Roman"/>
          <w:sz w:val="24"/>
          <w:szCs w:val="24"/>
        </w:rPr>
        <w:t>respondentů</w:t>
      </w:r>
      <w:r w:rsidRPr="00E57EF6">
        <w:rPr>
          <w:rFonts w:ascii="Times New Roman" w:hAnsi="Times New Roman" w:cs="Times New Roman"/>
          <w:sz w:val="24"/>
          <w:szCs w:val="24"/>
        </w:rPr>
        <w:t xml:space="preserve"> preferuje pěší chůzi nebo veřejnou hromadnou dopravu. Mladší děti tráví méně času na cestách a častěji se pohybují pěšky, zatímco starší mládež více využívá veřejnou dopravu. Podíl </w:t>
      </w:r>
      <w:proofErr w:type="spellStart"/>
      <w:r w:rsidRPr="00E57EF6">
        <w:rPr>
          <w:rFonts w:ascii="Times New Roman" w:hAnsi="Times New Roman" w:cs="Times New Roman"/>
          <w:sz w:val="24"/>
          <w:szCs w:val="24"/>
        </w:rPr>
        <w:t>cyklodopravy</w:t>
      </w:r>
      <w:proofErr w:type="spellEnd"/>
      <w:r w:rsidRPr="00E57EF6">
        <w:rPr>
          <w:rFonts w:ascii="Times New Roman" w:hAnsi="Times New Roman" w:cs="Times New Roman"/>
          <w:sz w:val="24"/>
          <w:szCs w:val="24"/>
        </w:rPr>
        <w:t xml:space="preserve"> zůstává zanedbatelný. </w:t>
      </w:r>
    </w:p>
    <w:p w:rsidR="00E57EF6" w:rsidRDefault="00E57EF6" w:rsidP="004A3002">
      <w:pPr>
        <w:rPr>
          <w:rFonts w:ascii="Times New Roman" w:hAnsi="Times New Roman" w:cs="Times New Roman"/>
          <w:sz w:val="24"/>
          <w:szCs w:val="24"/>
        </w:rPr>
      </w:pPr>
      <w:r w:rsidRPr="00E57EF6">
        <w:rPr>
          <w:rFonts w:ascii="Times New Roman" w:hAnsi="Times New Roman" w:cs="Times New Roman"/>
          <w:sz w:val="24"/>
          <w:szCs w:val="24"/>
        </w:rPr>
        <w:lastRenderedPageBreak/>
        <w:t xml:space="preserve">Aktivní zapojení do vrcholového sportu klesá s věkem, přičemž hlavní důvody ukončení sportovní činnosti zahrnují ztrátu zájmu, časová omezení a hledání jiných zájmů. Tyto výsledky zdůrazňují potřebu podpory rekreačního sportu pro starší mládež. </w:t>
      </w:r>
    </w:p>
    <w:p w:rsidR="00E57EF6" w:rsidRPr="00E57EF6" w:rsidRDefault="00917CFA" w:rsidP="004A3002">
      <w:pPr>
        <w:rPr>
          <w:rFonts w:ascii="Times New Roman" w:hAnsi="Times New Roman" w:cs="Times New Roman"/>
          <w:sz w:val="24"/>
          <w:szCs w:val="24"/>
        </w:rPr>
      </w:pPr>
      <w:r>
        <w:rPr>
          <w:rFonts w:ascii="Times New Roman" w:hAnsi="Times New Roman" w:cs="Times New Roman"/>
          <w:sz w:val="24"/>
          <w:szCs w:val="24"/>
        </w:rPr>
        <w:t>Responde</w:t>
      </w:r>
      <w:r w:rsidR="00596525">
        <w:rPr>
          <w:rFonts w:ascii="Times New Roman" w:hAnsi="Times New Roman" w:cs="Times New Roman"/>
          <w:sz w:val="24"/>
          <w:szCs w:val="24"/>
        </w:rPr>
        <w:t>nt</w:t>
      </w:r>
      <w:r>
        <w:rPr>
          <w:rFonts w:ascii="Times New Roman" w:hAnsi="Times New Roman" w:cs="Times New Roman"/>
          <w:sz w:val="24"/>
          <w:szCs w:val="24"/>
        </w:rPr>
        <w:t>i</w:t>
      </w:r>
      <w:r w:rsidR="00E57EF6">
        <w:rPr>
          <w:rFonts w:ascii="Times New Roman" w:hAnsi="Times New Roman" w:cs="Times New Roman"/>
          <w:sz w:val="24"/>
          <w:szCs w:val="24"/>
        </w:rPr>
        <w:t xml:space="preserve"> </w:t>
      </w:r>
      <w:r w:rsidR="00E57EF6" w:rsidRPr="00E57EF6">
        <w:rPr>
          <w:rFonts w:ascii="Times New Roman" w:hAnsi="Times New Roman" w:cs="Times New Roman"/>
          <w:sz w:val="24"/>
          <w:szCs w:val="24"/>
        </w:rPr>
        <w:t>by v případě dostatku finančních prostředků investoval</w:t>
      </w:r>
      <w:r w:rsidR="00E57EF6">
        <w:rPr>
          <w:rFonts w:ascii="Times New Roman" w:hAnsi="Times New Roman" w:cs="Times New Roman"/>
          <w:sz w:val="24"/>
          <w:szCs w:val="24"/>
        </w:rPr>
        <w:t>i</w:t>
      </w:r>
      <w:r w:rsidR="00E57EF6" w:rsidRPr="00E57EF6">
        <w:rPr>
          <w:rFonts w:ascii="Times New Roman" w:hAnsi="Times New Roman" w:cs="Times New Roman"/>
          <w:sz w:val="24"/>
          <w:szCs w:val="24"/>
        </w:rPr>
        <w:t xml:space="preserve"> do </w:t>
      </w:r>
      <w:r w:rsidR="00596525" w:rsidRPr="00E57EF6">
        <w:rPr>
          <w:rFonts w:ascii="Times New Roman" w:hAnsi="Times New Roman" w:cs="Times New Roman"/>
          <w:sz w:val="24"/>
          <w:szCs w:val="24"/>
        </w:rPr>
        <w:t>pořádání akcí a nákupu vybavení</w:t>
      </w:r>
      <w:r w:rsidR="00596525">
        <w:rPr>
          <w:rFonts w:ascii="Times New Roman" w:hAnsi="Times New Roman" w:cs="Times New Roman"/>
          <w:sz w:val="24"/>
          <w:szCs w:val="24"/>
        </w:rPr>
        <w:t>, do</w:t>
      </w:r>
      <w:r w:rsidR="00596525" w:rsidRPr="00E57EF6">
        <w:rPr>
          <w:rFonts w:ascii="Times New Roman" w:hAnsi="Times New Roman" w:cs="Times New Roman"/>
          <w:sz w:val="24"/>
          <w:szCs w:val="24"/>
        </w:rPr>
        <w:t xml:space="preserve"> </w:t>
      </w:r>
      <w:r w:rsidR="00E57EF6" w:rsidRPr="00E57EF6">
        <w:rPr>
          <w:rFonts w:ascii="Times New Roman" w:hAnsi="Times New Roman" w:cs="Times New Roman"/>
          <w:sz w:val="24"/>
          <w:szCs w:val="24"/>
        </w:rPr>
        <w:t>zlepšení infr</w:t>
      </w:r>
      <w:r w:rsidR="00596525">
        <w:rPr>
          <w:rFonts w:ascii="Times New Roman" w:hAnsi="Times New Roman" w:cs="Times New Roman"/>
          <w:sz w:val="24"/>
          <w:szCs w:val="24"/>
        </w:rPr>
        <w:t>astruktury (sportoviště, kluby)</w:t>
      </w:r>
      <w:r w:rsidR="00E57EF6" w:rsidRPr="00E57EF6">
        <w:rPr>
          <w:rFonts w:ascii="Times New Roman" w:hAnsi="Times New Roman" w:cs="Times New Roman"/>
          <w:sz w:val="24"/>
          <w:szCs w:val="24"/>
        </w:rPr>
        <w:t>.</w:t>
      </w:r>
    </w:p>
    <w:sectPr w:rsidR="00E57EF6" w:rsidRPr="00E57EF6">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64E" w:rsidRDefault="009F064E" w:rsidP="00216C26">
      <w:pPr>
        <w:spacing w:after="0" w:line="240" w:lineRule="auto"/>
      </w:pPr>
      <w:r>
        <w:separator/>
      </w:r>
    </w:p>
  </w:endnote>
  <w:endnote w:type="continuationSeparator" w:id="0">
    <w:p w:rsidR="009F064E" w:rsidRDefault="009F064E" w:rsidP="0021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221484"/>
      <w:docPartObj>
        <w:docPartGallery w:val="Page Numbers (Bottom of Page)"/>
        <w:docPartUnique/>
      </w:docPartObj>
    </w:sdtPr>
    <w:sdtEndPr/>
    <w:sdtContent>
      <w:p w:rsidR="009F064E" w:rsidRDefault="009F064E">
        <w:pPr>
          <w:pStyle w:val="Zpat"/>
          <w:jc w:val="center"/>
        </w:pPr>
        <w:r>
          <w:fldChar w:fldCharType="begin"/>
        </w:r>
        <w:r>
          <w:instrText>PAGE   \* MERGEFORMAT</w:instrText>
        </w:r>
        <w:r>
          <w:fldChar w:fldCharType="separate"/>
        </w:r>
        <w:r w:rsidR="004E772D">
          <w:rPr>
            <w:noProof/>
          </w:rPr>
          <w:t>2</w:t>
        </w:r>
        <w:r>
          <w:fldChar w:fldCharType="end"/>
        </w:r>
      </w:p>
    </w:sdtContent>
  </w:sdt>
  <w:p w:rsidR="009F064E" w:rsidRDefault="009F06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64E" w:rsidRDefault="009F064E" w:rsidP="00216C26">
      <w:pPr>
        <w:spacing w:after="0" w:line="240" w:lineRule="auto"/>
      </w:pPr>
      <w:r>
        <w:separator/>
      </w:r>
    </w:p>
  </w:footnote>
  <w:footnote w:type="continuationSeparator" w:id="0">
    <w:p w:rsidR="009F064E" w:rsidRDefault="009F064E" w:rsidP="00216C26">
      <w:pPr>
        <w:spacing w:after="0" w:line="240" w:lineRule="auto"/>
      </w:pPr>
      <w:r>
        <w:continuationSeparator/>
      </w:r>
    </w:p>
  </w:footnote>
  <w:footnote w:id="1">
    <w:p w:rsidR="009F064E" w:rsidRDefault="009F064E" w:rsidP="00216C26">
      <w:pPr>
        <w:pStyle w:val="Textpoznpodarou"/>
      </w:pPr>
      <w:r>
        <w:rPr>
          <w:rStyle w:val="Znakapoznpodarou"/>
        </w:rPr>
        <w:footnoteRef/>
      </w:r>
      <w:r>
        <w:t xml:space="preserve"> </w:t>
      </w:r>
      <w:r w:rsidRPr="00B54B76">
        <w:t>https://www.olomouc.eu/administrace/repository/gallery/articles/21_/21874/09-navrhova-cast.cs.pdf</w:t>
      </w:r>
    </w:p>
  </w:footnote>
  <w:footnote w:id="2">
    <w:p w:rsidR="009F064E" w:rsidRDefault="009F064E" w:rsidP="00216C26">
      <w:pPr>
        <w:pStyle w:val="Textpoznpodarou"/>
      </w:pPr>
      <w:r>
        <w:rPr>
          <w:rStyle w:val="Znakapoznpodarou"/>
        </w:rPr>
        <w:footnoteRef/>
      </w:r>
      <w:r>
        <w:t xml:space="preserve"> Plán udržitelné mobility města Olomouce je dostupný na </w:t>
      </w:r>
      <w:r w:rsidRPr="00DC6AAD">
        <w:t>https://spokojena.olomouc.eu/</w:t>
      </w:r>
    </w:p>
  </w:footnote>
  <w:footnote w:id="3">
    <w:p w:rsidR="009F064E" w:rsidRDefault="009F064E" w:rsidP="00216C26">
      <w:pPr>
        <w:pStyle w:val="Textpoznpodarou"/>
      </w:pPr>
      <w:r>
        <w:rPr>
          <w:rStyle w:val="Znakapoznpodarou"/>
        </w:rPr>
        <w:footnoteRef/>
      </w:r>
      <w:r>
        <w:t xml:space="preserve"> Všechny uvedené koncepční materiály jsou k dispozici na </w:t>
      </w:r>
      <w:hyperlink r:id="rId1" w:history="1">
        <w:r w:rsidRPr="00726B6E">
          <w:rPr>
            <w:rStyle w:val="Hypertextovodkaz"/>
          </w:rPr>
          <w:t>https://www.olomouc.eu/aktualni-informace/aktuality/article_id=24763</w:t>
        </w:r>
      </w:hyperlink>
      <w:r>
        <w:t xml:space="preserve">  </w:t>
      </w:r>
    </w:p>
  </w:footnote>
  <w:footnote w:id="4">
    <w:p w:rsidR="009F064E" w:rsidRDefault="009F064E">
      <w:pPr>
        <w:pStyle w:val="Textpoznpodarou"/>
      </w:pPr>
      <w:r>
        <w:rPr>
          <w:rStyle w:val="Znakapoznpodarou"/>
        </w:rPr>
        <w:footnoteRef/>
      </w:r>
      <w:r>
        <w:t xml:space="preserve"> Liberec, České Budějovice, Ústí nad Labem, Hradec Králové</w:t>
      </w:r>
    </w:p>
  </w:footnote>
  <w:footnote w:id="5">
    <w:p w:rsidR="009F064E" w:rsidRDefault="009F064E">
      <w:pPr>
        <w:pStyle w:val="Textpoznpodarou"/>
      </w:pPr>
      <w:r>
        <w:rPr>
          <w:rStyle w:val="Znakapoznpodarou"/>
        </w:rPr>
        <w:footnoteRef/>
      </w:r>
      <w:r>
        <w:t xml:space="preserve"> Metodika rodinné politiky na krajské a místní úrovni, MPSV, 2020, ISBN 978-80-7421-177-5, dostupná na </w:t>
      </w:r>
      <w:hyperlink r:id="rId2" w:history="1">
        <w:r w:rsidRPr="00B178D5">
          <w:rPr>
            <w:rStyle w:val="Hypertextovodkaz"/>
          </w:rPr>
          <w:t>www.rodinyvkrajich.mpsv.cz/cs/dokumenty-ke-stazeni/</w:t>
        </w:r>
      </w:hyperlink>
    </w:p>
  </w:footnote>
  <w:footnote w:id="6">
    <w:p w:rsidR="009F064E" w:rsidRDefault="009F064E">
      <w:pPr>
        <w:pStyle w:val="Textpoznpodarou"/>
      </w:pPr>
      <w:r>
        <w:rPr>
          <w:rStyle w:val="Znakapoznpodarou"/>
        </w:rPr>
        <w:footnoteRef/>
      </w:r>
      <w:r>
        <w:t xml:space="preserve"> </w:t>
      </w:r>
      <w:hyperlink r:id="rId3" w:history="1">
        <w:r w:rsidR="00597440">
          <w:rPr>
            <w:rStyle w:val="Hypertextovodkaz"/>
          </w:rPr>
          <w:t>SWOT analýza 2024</w:t>
        </w:r>
      </w:hyperlink>
    </w:p>
  </w:footnote>
  <w:footnote w:id="7">
    <w:p w:rsidR="009F064E" w:rsidRDefault="009F064E">
      <w:pPr>
        <w:pStyle w:val="Textpoznpodarou"/>
      </w:pPr>
      <w:r>
        <w:rPr>
          <w:rStyle w:val="Znakapoznpodarou"/>
        </w:rPr>
        <w:footnoteRef/>
      </w:r>
      <w:r>
        <w:t xml:space="preserve"> </w:t>
      </w:r>
      <w:hyperlink r:id="rId4" w:history="1">
        <w:r w:rsidR="00597440">
          <w:rPr>
            <w:rStyle w:val="Hypertextovodkaz"/>
          </w:rPr>
          <w:t>Anketní šetření u rodin s dětmi</w:t>
        </w:r>
      </w:hyperlink>
    </w:p>
  </w:footnote>
  <w:footnote w:id="8">
    <w:p w:rsidR="009F064E" w:rsidRDefault="009F064E">
      <w:pPr>
        <w:pStyle w:val="Textpoznpodarou"/>
      </w:pPr>
      <w:r w:rsidRPr="00597440">
        <w:rPr>
          <w:rStyle w:val="Znakapoznpodarou"/>
        </w:rPr>
        <w:footnoteRef/>
      </w:r>
      <w:r w:rsidRPr="00597440">
        <w:t xml:space="preserve"> </w:t>
      </w:r>
      <w:hyperlink r:id="rId5" w:history="1">
        <w:r w:rsidR="00597440">
          <w:rPr>
            <w:rStyle w:val="Hypertextovodkaz"/>
          </w:rPr>
          <w:t>Anketní šetření u seniorů</w:t>
        </w:r>
      </w:hyperlink>
    </w:p>
  </w:footnote>
  <w:footnote w:id="9">
    <w:p w:rsidR="009F064E" w:rsidRDefault="009F064E">
      <w:pPr>
        <w:pStyle w:val="Textpoznpodarou"/>
      </w:pPr>
      <w:r>
        <w:rPr>
          <w:rStyle w:val="Znakapoznpodarou"/>
        </w:rPr>
        <w:footnoteRef/>
      </w:r>
      <w:r>
        <w:t xml:space="preserve"> </w:t>
      </w:r>
      <w:hyperlink r:id="rId6" w:history="1">
        <w:r w:rsidR="00597440">
          <w:rPr>
            <w:rStyle w:val="Hypertextovodkaz"/>
          </w:rPr>
          <w:t>Anketní šetření u mládeže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12805"/>
    <w:multiLevelType w:val="hybridMultilevel"/>
    <w:tmpl w:val="0480E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1923621"/>
    <w:multiLevelType w:val="hybridMultilevel"/>
    <w:tmpl w:val="FE34AB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BBC0D8A"/>
    <w:multiLevelType w:val="multilevel"/>
    <w:tmpl w:val="5F6AC7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C26"/>
    <w:rsid w:val="00033C54"/>
    <w:rsid w:val="00036BED"/>
    <w:rsid w:val="00080C28"/>
    <w:rsid w:val="00081E57"/>
    <w:rsid w:val="00097C87"/>
    <w:rsid w:val="000B6009"/>
    <w:rsid w:val="000D6AD5"/>
    <w:rsid w:val="00167CD3"/>
    <w:rsid w:val="001743CA"/>
    <w:rsid w:val="001814CD"/>
    <w:rsid w:val="001B4E9C"/>
    <w:rsid w:val="001B759A"/>
    <w:rsid w:val="001E2481"/>
    <w:rsid w:val="00200D1E"/>
    <w:rsid w:val="00216C26"/>
    <w:rsid w:val="00216CAE"/>
    <w:rsid w:val="00217864"/>
    <w:rsid w:val="0022341D"/>
    <w:rsid w:val="00244ADF"/>
    <w:rsid w:val="002459BD"/>
    <w:rsid w:val="00256A66"/>
    <w:rsid w:val="002732AB"/>
    <w:rsid w:val="00275A86"/>
    <w:rsid w:val="0027794D"/>
    <w:rsid w:val="00280EE0"/>
    <w:rsid w:val="00284107"/>
    <w:rsid w:val="002A7393"/>
    <w:rsid w:val="0034377A"/>
    <w:rsid w:val="0036671D"/>
    <w:rsid w:val="00372289"/>
    <w:rsid w:val="003775E9"/>
    <w:rsid w:val="0039503A"/>
    <w:rsid w:val="00397A67"/>
    <w:rsid w:val="003B284C"/>
    <w:rsid w:val="003C45EF"/>
    <w:rsid w:val="003C46E9"/>
    <w:rsid w:val="003C6EEE"/>
    <w:rsid w:val="003D4986"/>
    <w:rsid w:val="00415626"/>
    <w:rsid w:val="00423483"/>
    <w:rsid w:val="00436728"/>
    <w:rsid w:val="00451AB2"/>
    <w:rsid w:val="004604BD"/>
    <w:rsid w:val="00471E06"/>
    <w:rsid w:val="004A3002"/>
    <w:rsid w:val="004B4149"/>
    <w:rsid w:val="004E772D"/>
    <w:rsid w:val="004F4F5A"/>
    <w:rsid w:val="005065E2"/>
    <w:rsid w:val="00513829"/>
    <w:rsid w:val="00531E45"/>
    <w:rsid w:val="00561885"/>
    <w:rsid w:val="00565A41"/>
    <w:rsid w:val="00583A07"/>
    <w:rsid w:val="00593263"/>
    <w:rsid w:val="00596525"/>
    <w:rsid w:val="00597440"/>
    <w:rsid w:val="005A286D"/>
    <w:rsid w:val="005C0DB8"/>
    <w:rsid w:val="00641636"/>
    <w:rsid w:val="00647826"/>
    <w:rsid w:val="0066002E"/>
    <w:rsid w:val="00680F0C"/>
    <w:rsid w:val="006A1B17"/>
    <w:rsid w:val="006C3218"/>
    <w:rsid w:val="006D2E40"/>
    <w:rsid w:val="006D78AB"/>
    <w:rsid w:val="006F4087"/>
    <w:rsid w:val="007141B3"/>
    <w:rsid w:val="00741EA5"/>
    <w:rsid w:val="00756CD7"/>
    <w:rsid w:val="007B703F"/>
    <w:rsid w:val="007E2EA9"/>
    <w:rsid w:val="007E7A31"/>
    <w:rsid w:val="007F76A1"/>
    <w:rsid w:val="00810AFD"/>
    <w:rsid w:val="00823083"/>
    <w:rsid w:val="00844246"/>
    <w:rsid w:val="00851279"/>
    <w:rsid w:val="008B2B24"/>
    <w:rsid w:val="008D382C"/>
    <w:rsid w:val="008F3DCE"/>
    <w:rsid w:val="00905035"/>
    <w:rsid w:val="00917CFA"/>
    <w:rsid w:val="00921E95"/>
    <w:rsid w:val="00923A40"/>
    <w:rsid w:val="00955A4E"/>
    <w:rsid w:val="009611C4"/>
    <w:rsid w:val="00992897"/>
    <w:rsid w:val="009952C9"/>
    <w:rsid w:val="009952F1"/>
    <w:rsid w:val="009A3CD7"/>
    <w:rsid w:val="009A4477"/>
    <w:rsid w:val="009A788A"/>
    <w:rsid w:val="009A7F8C"/>
    <w:rsid w:val="009E1C28"/>
    <w:rsid w:val="009F064E"/>
    <w:rsid w:val="00A02B37"/>
    <w:rsid w:val="00A0759C"/>
    <w:rsid w:val="00A15A76"/>
    <w:rsid w:val="00A606FB"/>
    <w:rsid w:val="00A6476C"/>
    <w:rsid w:val="00AC6F5E"/>
    <w:rsid w:val="00AE1E58"/>
    <w:rsid w:val="00AE25E7"/>
    <w:rsid w:val="00AF5818"/>
    <w:rsid w:val="00B02BA7"/>
    <w:rsid w:val="00B30811"/>
    <w:rsid w:val="00B33DCE"/>
    <w:rsid w:val="00B67CBF"/>
    <w:rsid w:val="00B94229"/>
    <w:rsid w:val="00BC51F0"/>
    <w:rsid w:val="00BC7881"/>
    <w:rsid w:val="00BD6137"/>
    <w:rsid w:val="00BF73D6"/>
    <w:rsid w:val="00C00F2E"/>
    <w:rsid w:val="00C111B7"/>
    <w:rsid w:val="00C24F9D"/>
    <w:rsid w:val="00C5314C"/>
    <w:rsid w:val="00CC2D17"/>
    <w:rsid w:val="00CD50A8"/>
    <w:rsid w:val="00D05727"/>
    <w:rsid w:val="00D21A6D"/>
    <w:rsid w:val="00D24E4E"/>
    <w:rsid w:val="00D43196"/>
    <w:rsid w:val="00D80C26"/>
    <w:rsid w:val="00DA1CDE"/>
    <w:rsid w:val="00E04B4C"/>
    <w:rsid w:val="00E53E20"/>
    <w:rsid w:val="00E57EF6"/>
    <w:rsid w:val="00E84F16"/>
    <w:rsid w:val="00E85045"/>
    <w:rsid w:val="00EB0476"/>
    <w:rsid w:val="00EB1285"/>
    <w:rsid w:val="00EB4866"/>
    <w:rsid w:val="00ED667A"/>
    <w:rsid w:val="00F24EFD"/>
    <w:rsid w:val="00F90143"/>
    <w:rsid w:val="00F91D03"/>
    <w:rsid w:val="00FA5534"/>
    <w:rsid w:val="00FB51C5"/>
    <w:rsid w:val="00FC18F7"/>
    <w:rsid w:val="00FE6A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471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471E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4367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216C26"/>
    <w:rPr>
      <w:rFonts w:cs="Times New Roman"/>
      <w:color w:val="0563C1"/>
      <w:u w:val="single"/>
    </w:rPr>
  </w:style>
  <w:style w:type="paragraph" w:styleId="Textpoznpodarou">
    <w:name w:val="footnote text"/>
    <w:aliases w:val="Text poznámky pod čiarou 007,Footnote,pozn. pod čarou,Schriftart: 9 pt,Schriftart: 10 pt,Schriftart: 8 pt,Podrozdział,Podrozdzia3,Char1"/>
    <w:basedOn w:val="Normln"/>
    <w:link w:val="TextpoznpodarouChar"/>
    <w:uiPriority w:val="99"/>
    <w:semiHidden/>
    <w:rsid w:val="00216C26"/>
    <w:pPr>
      <w:spacing w:after="0" w:line="240" w:lineRule="auto"/>
      <w:jc w:val="both"/>
    </w:pPr>
    <w:rPr>
      <w:rFonts w:ascii="Times New Roman" w:eastAsia="Calibri" w:hAnsi="Times New Roman" w:cs="Times New Roman"/>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
    <w:basedOn w:val="Standardnpsmoodstavce"/>
    <w:link w:val="Textpoznpodarou"/>
    <w:uiPriority w:val="99"/>
    <w:semiHidden/>
    <w:rsid w:val="00216C26"/>
    <w:rPr>
      <w:rFonts w:ascii="Times New Roman" w:eastAsia="Calibri" w:hAnsi="Times New Roman" w:cs="Times New Roman"/>
      <w:sz w:val="20"/>
      <w:szCs w:val="20"/>
    </w:rPr>
  </w:style>
  <w:style w:type="character" w:styleId="Znakapoznpodarou">
    <w:name w:val="footnote reference"/>
    <w:aliases w:val="PGI Fußnote Ziffer"/>
    <w:uiPriority w:val="99"/>
    <w:semiHidden/>
    <w:rsid w:val="00216C26"/>
    <w:rPr>
      <w:rFonts w:cs="Times New Roman"/>
      <w:vertAlign w:val="superscript"/>
    </w:rPr>
  </w:style>
  <w:style w:type="character" w:styleId="Sledovanodkaz">
    <w:name w:val="FollowedHyperlink"/>
    <w:basedOn w:val="Standardnpsmoodstavce"/>
    <w:uiPriority w:val="99"/>
    <w:semiHidden/>
    <w:unhideWhenUsed/>
    <w:rsid w:val="00216C26"/>
    <w:rPr>
      <w:color w:val="800080" w:themeColor="followedHyperlink"/>
      <w:u w:val="single"/>
    </w:rPr>
  </w:style>
  <w:style w:type="paragraph" w:styleId="Odstavecseseznamem">
    <w:name w:val="List Paragraph"/>
    <w:basedOn w:val="Normln"/>
    <w:uiPriority w:val="34"/>
    <w:qFormat/>
    <w:rsid w:val="00471E06"/>
    <w:pPr>
      <w:ind w:left="720"/>
      <w:contextualSpacing/>
    </w:pPr>
  </w:style>
  <w:style w:type="character" w:customStyle="1" w:styleId="Nadpis1Char">
    <w:name w:val="Nadpis 1 Char"/>
    <w:basedOn w:val="Standardnpsmoodstavce"/>
    <w:link w:val="Nadpis1"/>
    <w:uiPriority w:val="9"/>
    <w:rsid w:val="00471E0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471E0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436728"/>
    <w:rPr>
      <w:rFonts w:asciiTheme="majorHAnsi" w:eastAsiaTheme="majorEastAsia" w:hAnsiTheme="majorHAnsi" w:cstheme="majorBidi"/>
      <w:b/>
      <w:bCs/>
      <w:color w:val="4F81BD" w:themeColor="accent1"/>
    </w:rPr>
  </w:style>
  <w:style w:type="table" w:styleId="Mkatabulky">
    <w:name w:val="Table Grid"/>
    <w:basedOn w:val="Normlntabulka"/>
    <w:uiPriority w:val="59"/>
    <w:rsid w:val="001B4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Title for table,picture,graph,formula,Zdroj_moje,titulek tabulka,Tabulka,Titulek tabulky,Tabulka_nadpis,Tabulka-PK"/>
    <w:basedOn w:val="Normln"/>
    <w:next w:val="Normln"/>
    <w:link w:val="TitulekChar"/>
    <w:uiPriority w:val="35"/>
    <w:qFormat/>
    <w:rsid w:val="00FE6ACC"/>
    <w:pPr>
      <w:keepNext/>
      <w:suppressAutoHyphens/>
      <w:spacing w:after="0" w:line="240" w:lineRule="auto"/>
      <w:jc w:val="both"/>
    </w:pPr>
    <w:rPr>
      <w:rFonts w:ascii="Times New Roman" w:eastAsia="Times New Roman" w:hAnsi="Times New Roman" w:cs="Times New Roman"/>
      <w:i/>
      <w:iCs/>
      <w:sz w:val="20"/>
      <w:szCs w:val="20"/>
      <w:lang w:eastAsia="cs-CZ"/>
    </w:rPr>
  </w:style>
  <w:style w:type="character" w:customStyle="1" w:styleId="TitulekChar">
    <w:name w:val="Titulek Char"/>
    <w:aliases w:val="Title for table Char,picture Char,graph Char,formula Char,Zdroj_moje Char,titulek tabulka Char,Tabulka Char,Titulek tabulky Char,Tabulka_nadpis Char,Tabulka-PK Char"/>
    <w:link w:val="Titulek"/>
    <w:qFormat/>
    <w:locked/>
    <w:rsid w:val="00FE6ACC"/>
    <w:rPr>
      <w:rFonts w:ascii="Times New Roman" w:eastAsia="Times New Roman" w:hAnsi="Times New Roman" w:cs="Times New Roman"/>
      <w:i/>
      <w:iCs/>
      <w:sz w:val="20"/>
      <w:szCs w:val="20"/>
      <w:lang w:eastAsia="cs-CZ"/>
    </w:rPr>
  </w:style>
  <w:style w:type="paragraph" w:customStyle="1" w:styleId="Zdroje">
    <w:name w:val="Zdroje"/>
    <w:basedOn w:val="Normln"/>
    <w:link w:val="ZdrojeChar"/>
    <w:qFormat/>
    <w:rsid w:val="00FE6ACC"/>
    <w:pPr>
      <w:spacing w:after="120" w:line="240" w:lineRule="auto"/>
    </w:pPr>
    <w:rPr>
      <w:rFonts w:ascii="Cambria" w:eastAsia="Calibri" w:hAnsi="Cambria" w:cs="Times New Roman"/>
      <w:bCs/>
      <w:i/>
      <w:iCs/>
      <w:sz w:val="18"/>
      <w:szCs w:val="24"/>
      <w:lang w:eastAsia="cs-CZ"/>
    </w:rPr>
  </w:style>
  <w:style w:type="character" w:customStyle="1" w:styleId="ZdrojeChar">
    <w:name w:val="Zdroje Char"/>
    <w:link w:val="Zdroje"/>
    <w:locked/>
    <w:rsid w:val="00FE6ACC"/>
    <w:rPr>
      <w:rFonts w:ascii="Cambria" w:eastAsia="Calibri" w:hAnsi="Cambria" w:cs="Times New Roman"/>
      <w:bCs/>
      <w:i/>
      <w:iCs/>
      <w:sz w:val="18"/>
      <w:szCs w:val="24"/>
      <w:lang w:eastAsia="cs-CZ"/>
    </w:rPr>
  </w:style>
  <w:style w:type="paragraph" w:styleId="Textbubliny">
    <w:name w:val="Balloon Text"/>
    <w:basedOn w:val="Normln"/>
    <w:link w:val="TextbublinyChar"/>
    <w:uiPriority w:val="99"/>
    <w:semiHidden/>
    <w:unhideWhenUsed/>
    <w:rsid w:val="00FE6AC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E6ACC"/>
    <w:rPr>
      <w:rFonts w:ascii="Tahoma" w:hAnsi="Tahoma" w:cs="Tahoma"/>
      <w:sz w:val="16"/>
      <w:szCs w:val="16"/>
    </w:rPr>
  </w:style>
  <w:style w:type="character" w:styleId="Odkaznakoment">
    <w:name w:val="annotation reference"/>
    <w:basedOn w:val="Standardnpsmoodstavce"/>
    <w:uiPriority w:val="99"/>
    <w:semiHidden/>
    <w:unhideWhenUsed/>
    <w:rsid w:val="00E85045"/>
    <w:rPr>
      <w:sz w:val="16"/>
      <w:szCs w:val="16"/>
    </w:rPr>
  </w:style>
  <w:style w:type="paragraph" w:styleId="Textkomente">
    <w:name w:val="annotation text"/>
    <w:basedOn w:val="Normln"/>
    <w:link w:val="TextkomenteChar"/>
    <w:uiPriority w:val="99"/>
    <w:semiHidden/>
    <w:unhideWhenUsed/>
    <w:rsid w:val="00E85045"/>
    <w:pPr>
      <w:spacing w:line="240" w:lineRule="auto"/>
    </w:pPr>
    <w:rPr>
      <w:sz w:val="20"/>
      <w:szCs w:val="20"/>
    </w:rPr>
  </w:style>
  <w:style w:type="character" w:customStyle="1" w:styleId="TextkomenteChar">
    <w:name w:val="Text komentáře Char"/>
    <w:basedOn w:val="Standardnpsmoodstavce"/>
    <w:link w:val="Textkomente"/>
    <w:uiPriority w:val="99"/>
    <w:semiHidden/>
    <w:rsid w:val="00E85045"/>
    <w:rPr>
      <w:sz w:val="20"/>
      <w:szCs w:val="20"/>
    </w:rPr>
  </w:style>
  <w:style w:type="paragraph" w:styleId="Pedmtkomente">
    <w:name w:val="annotation subject"/>
    <w:basedOn w:val="Textkomente"/>
    <w:next w:val="Textkomente"/>
    <w:link w:val="PedmtkomenteChar"/>
    <w:uiPriority w:val="99"/>
    <w:semiHidden/>
    <w:unhideWhenUsed/>
    <w:rsid w:val="00E85045"/>
    <w:rPr>
      <w:b/>
      <w:bCs/>
    </w:rPr>
  </w:style>
  <w:style w:type="character" w:customStyle="1" w:styleId="PedmtkomenteChar">
    <w:name w:val="Předmět komentáře Char"/>
    <w:basedOn w:val="TextkomenteChar"/>
    <w:link w:val="Pedmtkomente"/>
    <w:uiPriority w:val="99"/>
    <w:semiHidden/>
    <w:rsid w:val="00E85045"/>
    <w:rPr>
      <w:b/>
      <w:bCs/>
      <w:sz w:val="20"/>
      <w:szCs w:val="20"/>
    </w:rPr>
  </w:style>
  <w:style w:type="paragraph" w:styleId="Zhlav">
    <w:name w:val="header"/>
    <w:basedOn w:val="Normln"/>
    <w:link w:val="ZhlavChar"/>
    <w:uiPriority w:val="99"/>
    <w:unhideWhenUsed/>
    <w:rsid w:val="003C6E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6EEE"/>
  </w:style>
  <w:style w:type="paragraph" w:styleId="Zpat">
    <w:name w:val="footer"/>
    <w:basedOn w:val="Normln"/>
    <w:link w:val="ZpatChar"/>
    <w:uiPriority w:val="99"/>
    <w:unhideWhenUsed/>
    <w:rsid w:val="003C6EEE"/>
    <w:pPr>
      <w:tabs>
        <w:tab w:val="center" w:pos="4536"/>
        <w:tab w:val="right" w:pos="9072"/>
      </w:tabs>
      <w:spacing w:after="0" w:line="240" w:lineRule="auto"/>
    </w:pPr>
  </w:style>
  <w:style w:type="character" w:customStyle="1" w:styleId="ZpatChar">
    <w:name w:val="Zápatí Char"/>
    <w:basedOn w:val="Standardnpsmoodstavce"/>
    <w:link w:val="Zpat"/>
    <w:uiPriority w:val="99"/>
    <w:rsid w:val="003C6E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471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471E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4367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216C26"/>
    <w:rPr>
      <w:rFonts w:cs="Times New Roman"/>
      <w:color w:val="0563C1"/>
      <w:u w:val="single"/>
    </w:rPr>
  </w:style>
  <w:style w:type="paragraph" w:styleId="Textpoznpodarou">
    <w:name w:val="footnote text"/>
    <w:aliases w:val="Text poznámky pod čiarou 007,Footnote,pozn. pod čarou,Schriftart: 9 pt,Schriftart: 10 pt,Schriftart: 8 pt,Podrozdział,Podrozdzia3,Char1"/>
    <w:basedOn w:val="Normln"/>
    <w:link w:val="TextpoznpodarouChar"/>
    <w:uiPriority w:val="99"/>
    <w:semiHidden/>
    <w:rsid w:val="00216C26"/>
    <w:pPr>
      <w:spacing w:after="0" w:line="240" w:lineRule="auto"/>
      <w:jc w:val="both"/>
    </w:pPr>
    <w:rPr>
      <w:rFonts w:ascii="Times New Roman" w:eastAsia="Calibri" w:hAnsi="Times New Roman" w:cs="Times New Roman"/>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
    <w:basedOn w:val="Standardnpsmoodstavce"/>
    <w:link w:val="Textpoznpodarou"/>
    <w:uiPriority w:val="99"/>
    <w:semiHidden/>
    <w:rsid w:val="00216C26"/>
    <w:rPr>
      <w:rFonts w:ascii="Times New Roman" w:eastAsia="Calibri" w:hAnsi="Times New Roman" w:cs="Times New Roman"/>
      <w:sz w:val="20"/>
      <w:szCs w:val="20"/>
    </w:rPr>
  </w:style>
  <w:style w:type="character" w:styleId="Znakapoznpodarou">
    <w:name w:val="footnote reference"/>
    <w:aliases w:val="PGI Fußnote Ziffer"/>
    <w:uiPriority w:val="99"/>
    <w:semiHidden/>
    <w:rsid w:val="00216C26"/>
    <w:rPr>
      <w:rFonts w:cs="Times New Roman"/>
      <w:vertAlign w:val="superscript"/>
    </w:rPr>
  </w:style>
  <w:style w:type="character" w:styleId="Sledovanodkaz">
    <w:name w:val="FollowedHyperlink"/>
    <w:basedOn w:val="Standardnpsmoodstavce"/>
    <w:uiPriority w:val="99"/>
    <w:semiHidden/>
    <w:unhideWhenUsed/>
    <w:rsid w:val="00216C26"/>
    <w:rPr>
      <w:color w:val="800080" w:themeColor="followedHyperlink"/>
      <w:u w:val="single"/>
    </w:rPr>
  </w:style>
  <w:style w:type="paragraph" w:styleId="Odstavecseseznamem">
    <w:name w:val="List Paragraph"/>
    <w:basedOn w:val="Normln"/>
    <w:uiPriority w:val="34"/>
    <w:qFormat/>
    <w:rsid w:val="00471E06"/>
    <w:pPr>
      <w:ind w:left="720"/>
      <w:contextualSpacing/>
    </w:pPr>
  </w:style>
  <w:style w:type="character" w:customStyle="1" w:styleId="Nadpis1Char">
    <w:name w:val="Nadpis 1 Char"/>
    <w:basedOn w:val="Standardnpsmoodstavce"/>
    <w:link w:val="Nadpis1"/>
    <w:uiPriority w:val="9"/>
    <w:rsid w:val="00471E0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471E0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436728"/>
    <w:rPr>
      <w:rFonts w:asciiTheme="majorHAnsi" w:eastAsiaTheme="majorEastAsia" w:hAnsiTheme="majorHAnsi" w:cstheme="majorBidi"/>
      <w:b/>
      <w:bCs/>
      <w:color w:val="4F81BD" w:themeColor="accent1"/>
    </w:rPr>
  </w:style>
  <w:style w:type="table" w:styleId="Mkatabulky">
    <w:name w:val="Table Grid"/>
    <w:basedOn w:val="Normlntabulka"/>
    <w:uiPriority w:val="59"/>
    <w:rsid w:val="001B4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Title for table,picture,graph,formula,Zdroj_moje,titulek tabulka,Tabulka,Titulek tabulky,Tabulka_nadpis,Tabulka-PK"/>
    <w:basedOn w:val="Normln"/>
    <w:next w:val="Normln"/>
    <w:link w:val="TitulekChar"/>
    <w:uiPriority w:val="35"/>
    <w:qFormat/>
    <w:rsid w:val="00FE6ACC"/>
    <w:pPr>
      <w:keepNext/>
      <w:suppressAutoHyphens/>
      <w:spacing w:after="0" w:line="240" w:lineRule="auto"/>
      <w:jc w:val="both"/>
    </w:pPr>
    <w:rPr>
      <w:rFonts w:ascii="Times New Roman" w:eastAsia="Times New Roman" w:hAnsi="Times New Roman" w:cs="Times New Roman"/>
      <w:i/>
      <w:iCs/>
      <w:sz w:val="20"/>
      <w:szCs w:val="20"/>
      <w:lang w:eastAsia="cs-CZ"/>
    </w:rPr>
  </w:style>
  <w:style w:type="character" w:customStyle="1" w:styleId="TitulekChar">
    <w:name w:val="Titulek Char"/>
    <w:aliases w:val="Title for table Char,picture Char,graph Char,formula Char,Zdroj_moje Char,titulek tabulka Char,Tabulka Char,Titulek tabulky Char,Tabulka_nadpis Char,Tabulka-PK Char"/>
    <w:link w:val="Titulek"/>
    <w:qFormat/>
    <w:locked/>
    <w:rsid w:val="00FE6ACC"/>
    <w:rPr>
      <w:rFonts w:ascii="Times New Roman" w:eastAsia="Times New Roman" w:hAnsi="Times New Roman" w:cs="Times New Roman"/>
      <w:i/>
      <w:iCs/>
      <w:sz w:val="20"/>
      <w:szCs w:val="20"/>
      <w:lang w:eastAsia="cs-CZ"/>
    </w:rPr>
  </w:style>
  <w:style w:type="paragraph" w:customStyle="1" w:styleId="Zdroje">
    <w:name w:val="Zdroje"/>
    <w:basedOn w:val="Normln"/>
    <w:link w:val="ZdrojeChar"/>
    <w:qFormat/>
    <w:rsid w:val="00FE6ACC"/>
    <w:pPr>
      <w:spacing w:after="120" w:line="240" w:lineRule="auto"/>
    </w:pPr>
    <w:rPr>
      <w:rFonts w:ascii="Cambria" w:eastAsia="Calibri" w:hAnsi="Cambria" w:cs="Times New Roman"/>
      <w:bCs/>
      <w:i/>
      <w:iCs/>
      <w:sz w:val="18"/>
      <w:szCs w:val="24"/>
      <w:lang w:eastAsia="cs-CZ"/>
    </w:rPr>
  </w:style>
  <w:style w:type="character" w:customStyle="1" w:styleId="ZdrojeChar">
    <w:name w:val="Zdroje Char"/>
    <w:link w:val="Zdroje"/>
    <w:locked/>
    <w:rsid w:val="00FE6ACC"/>
    <w:rPr>
      <w:rFonts w:ascii="Cambria" w:eastAsia="Calibri" w:hAnsi="Cambria" w:cs="Times New Roman"/>
      <w:bCs/>
      <w:i/>
      <w:iCs/>
      <w:sz w:val="18"/>
      <w:szCs w:val="24"/>
      <w:lang w:eastAsia="cs-CZ"/>
    </w:rPr>
  </w:style>
  <w:style w:type="paragraph" w:styleId="Textbubliny">
    <w:name w:val="Balloon Text"/>
    <w:basedOn w:val="Normln"/>
    <w:link w:val="TextbublinyChar"/>
    <w:uiPriority w:val="99"/>
    <w:semiHidden/>
    <w:unhideWhenUsed/>
    <w:rsid w:val="00FE6AC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E6ACC"/>
    <w:rPr>
      <w:rFonts w:ascii="Tahoma" w:hAnsi="Tahoma" w:cs="Tahoma"/>
      <w:sz w:val="16"/>
      <w:szCs w:val="16"/>
    </w:rPr>
  </w:style>
  <w:style w:type="character" w:styleId="Odkaznakoment">
    <w:name w:val="annotation reference"/>
    <w:basedOn w:val="Standardnpsmoodstavce"/>
    <w:uiPriority w:val="99"/>
    <w:semiHidden/>
    <w:unhideWhenUsed/>
    <w:rsid w:val="00E85045"/>
    <w:rPr>
      <w:sz w:val="16"/>
      <w:szCs w:val="16"/>
    </w:rPr>
  </w:style>
  <w:style w:type="paragraph" w:styleId="Textkomente">
    <w:name w:val="annotation text"/>
    <w:basedOn w:val="Normln"/>
    <w:link w:val="TextkomenteChar"/>
    <w:uiPriority w:val="99"/>
    <w:semiHidden/>
    <w:unhideWhenUsed/>
    <w:rsid w:val="00E85045"/>
    <w:pPr>
      <w:spacing w:line="240" w:lineRule="auto"/>
    </w:pPr>
    <w:rPr>
      <w:sz w:val="20"/>
      <w:szCs w:val="20"/>
    </w:rPr>
  </w:style>
  <w:style w:type="character" w:customStyle="1" w:styleId="TextkomenteChar">
    <w:name w:val="Text komentáře Char"/>
    <w:basedOn w:val="Standardnpsmoodstavce"/>
    <w:link w:val="Textkomente"/>
    <w:uiPriority w:val="99"/>
    <w:semiHidden/>
    <w:rsid w:val="00E85045"/>
    <w:rPr>
      <w:sz w:val="20"/>
      <w:szCs w:val="20"/>
    </w:rPr>
  </w:style>
  <w:style w:type="paragraph" w:styleId="Pedmtkomente">
    <w:name w:val="annotation subject"/>
    <w:basedOn w:val="Textkomente"/>
    <w:next w:val="Textkomente"/>
    <w:link w:val="PedmtkomenteChar"/>
    <w:uiPriority w:val="99"/>
    <w:semiHidden/>
    <w:unhideWhenUsed/>
    <w:rsid w:val="00E85045"/>
    <w:rPr>
      <w:b/>
      <w:bCs/>
    </w:rPr>
  </w:style>
  <w:style w:type="character" w:customStyle="1" w:styleId="PedmtkomenteChar">
    <w:name w:val="Předmět komentáře Char"/>
    <w:basedOn w:val="TextkomenteChar"/>
    <w:link w:val="Pedmtkomente"/>
    <w:uiPriority w:val="99"/>
    <w:semiHidden/>
    <w:rsid w:val="00E85045"/>
    <w:rPr>
      <w:b/>
      <w:bCs/>
      <w:sz w:val="20"/>
      <w:szCs w:val="20"/>
    </w:rPr>
  </w:style>
  <w:style w:type="paragraph" w:styleId="Zhlav">
    <w:name w:val="header"/>
    <w:basedOn w:val="Normln"/>
    <w:link w:val="ZhlavChar"/>
    <w:uiPriority w:val="99"/>
    <w:unhideWhenUsed/>
    <w:rsid w:val="003C6E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6EEE"/>
  </w:style>
  <w:style w:type="paragraph" w:styleId="Zpat">
    <w:name w:val="footer"/>
    <w:basedOn w:val="Normln"/>
    <w:link w:val="ZpatChar"/>
    <w:uiPriority w:val="99"/>
    <w:unhideWhenUsed/>
    <w:rsid w:val="003C6EEE"/>
    <w:pPr>
      <w:tabs>
        <w:tab w:val="center" w:pos="4536"/>
        <w:tab w:val="right" w:pos="9072"/>
      </w:tabs>
      <w:spacing w:after="0" w:line="240" w:lineRule="auto"/>
    </w:pPr>
  </w:style>
  <w:style w:type="character" w:customStyle="1" w:styleId="ZpatChar">
    <w:name w:val="Zápatí Char"/>
    <w:basedOn w:val="Standardnpsmoodstavce"/>
    <w:link w:val="Zpat"/>
    <w:uiPriority w:val="99"/>
    <w:rsid w:val="003C6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image" Target="media/image2.emf"/><Relationship Id="rId19" Type="http://schemas.openxmlformats.org/officeDocument/2006/relationships/hyperlink" Target="http://www.olomouc.e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lomouc.eu/administrace/repository/gallery/articles/20_/20871/swot-analyza-2024.pdf" TargetMode="External"/><Relationship Id="rId2" Type="http://schemas.openxmlformats.org/officeDocument/2006/relationships/hyperlink" Target="http://www.rodinyvkrajich.mpsv.cz/cs/dokumenty-ke-stazeni/" TargetMode="External"/><Relationship Id="rId1" Type="http://schemas.openxmlformats.org/officeDocument/2006/relationships/hyperlink" Target="https://www.olomouc.eu/aktualni-informace/aktuality/article_id=24763" TargetMode="External"/><Relationship Id="rId6" Type="http://schemas.openxmlformats.org/officeDocument/2006/relationships/hyperlink" Target="https://olomouc.eu/administrace/repository/gallery/articles/20_/20871/pruzkum-volneho-casu-deti-a-mladeze-v-olomouci.pdf" TargetMode="External"/><Relationship Id="rId5" Type="http://schemas.openxmlformats.org/officeDocument/2006/relationships/hyperlink" Target="https://olomouc.eu/administrace/repository/gallery/articles/20_/20871/pruzkum-potreb-senioru-mesta-olomouce.pdf" TargetMode="External"/><Relationship Id="rId4" Type="http://schemas.openxmlformats.org/officeDocument/2006/relationships/hyperlink" Target="https://olomouc.eu/administrace/repository/gallery/articles/20_/20871/pruzkum-potreb-olomoucke-rodiny.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linda\Vyvialova\01_PROJEKTY\OLK_II\03_ORP\10_ORP_Olomouc\Cizinc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322970085470085"/>
          <c:y val="4.5605306799336651E-2"/>
          <c:w val="0.73633675213675209"/>
          <c:h val="0.69409383528551472"/>
        </c:manualLayout>
      </c:layout>
      <c:barChart>
        <c:barDir val="bar"/>
        <c:grouping val="clustered"/>
        <c:varyColors val="0"/>
        <c:ser>
          <c:idx val="2"/>
          <c:order val="0"/>
          <c:tx>
            <c:strRef>
              <c:f>'Lipník_Demografie (2)'!$C$4</c:f>
              <c:strCache>
                <c:ptCount val="1"/>
                <c:pt idx="0">
                  <c:v>Ženy</c:v>
                </c:pt>
              </c:strCache>
            </c:strRef>
          </c:tx>
          <c:spPr>
            <a:solidFill>
              <a:srgbClr val="FF9F9F"/>
            </a:solidFill>
            <a:ln w="19050">
              <a:solidFill>
                <a:srgbClr val="C00000"/>
              </a:solidFill>
            </a:ln>
          </c:spPr>
          <c:invertIfNegative val="0"/>
          <c:dLbls>
            <c:spPr>
              <a:noFill/>
              <a:ln>
                <a:noFill/>
              </a:ln>
              <a:effectLst/>
            </c:spPr>
            <c:txPr>
              <a:bodyPr wrap="square" lIns="38100" tIns="19050" rIns="38100" bIns="19050" anchor="ctr">
                <a:spAutoFit/>
              </a:bodyPr>
              <a:lstStyle/>
              <a:p>
                <a:pPr>
                  <a:defRPr sz="1050" b="1">
                    <a:solidFill>
                      <a:srgbClr val="C00000"/>
                    </a:solidFill>
                  </a:defRPr>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'Lipník_Demografie (2)'!$A$5:$A$10</c:f>
              <c:strCache>
                <c:ptCount val="6"/>
                <c:pt idx="0">
                  <c:v>0–3</c:v>
                </c:pt>
                <c:pt idx="1">
                  <c:v>4–6</c:v>
                </c:pt>
                <c:pt idx="2">
                  <c:v>7–15</c:v>
                </c:pt>
                <c:pt idx="3">
                  <c:v>16–18</c:v>
                </c:pt>
                <c:pt idx="4">
                  <c:v>19–65</c:v>
                </c:pt>
                <c:pt idx="5">
                  <c:v>66 a více</c:v>
                </c:pt>
              </c:strCache>
            </c:strRef>
          </c:cat>
          <c:val>
            <c:numRef>
              <c:f>'Lipník_Demografie (2)'!$C$5:$C$10</c:f>
              <c:numCache>
                <c:formatCode>#,##0</c:formatCode>
                <c:ptCount val="6"/>
                <c:pt idx="0">
                  <c:v>54</c:v>
                </c:pt>
                <c:pt idx="1">
                  <c:v>92</c:v>
                </c:pt>
                <c:pt idx="2">
                  <c:v>283</c:v>
                </c:pt>
                <c:pt idx="3">
                  <c:v>113</c:v>
                </c:pt>
                <c:pt idx="4">
                  <c:v>1989</c:v>
                </c:pt>
                <c:pt idx="5">
                  <c:v>143</c:v>
                </c:pt>
              </c:numCache>
            </c:numRef>
          </c:val>
          <c:extLst xmlns:c16r2="http://schemas.microsoft.com/office/drawing/2015/06/chart">
            <c:ext xmlns:c16="http://schemas.microsoft.com/office/drawing/2014/chart" uri="{C3380CC4-5D6E-409C-BE32-E72D297353CC}">
              <c16:uniqueId val="{00000000-F020-4B71-9E88-86B25FE446C0}"/>
            </c:ext>
          </c:extLst>
        </c:ser>
        <c:ser>
          <c:idx val="3"/>
          <c:order val="1"/>
          <c:tx>
            <c:strRef>
              <c:f>'Lipník_Demografie (2)'!$D$4</c:f>
              <c:strCache>
                <c:ptCount val="1"/>
                <c:pt idx="0">
                  <c:v>Muži</c:v>
                </c:pt>
              </c:strCache>
            </c:strRef>
          </c:tx>
          <c:spPr>
            <a:solidFill>
              <a:schemeClr val="accent1">
                <a:lumMod val="40000"/>
                <a:lumOff val="60000"/>
              </a:schemeClr>
            </a:solidFill>
            <a:ln w="19050">
              <a:solidFill>
                <a:schemeClr val="accent1">
                  <a:lumMod val="75000"/>
                </a:schemeClr>
              </a:solidFill>
            </a:ln>
          </c:spPr>
          <c:invertIfNegative val="0"/>
          <c:dLbls>
            <c:spPr>
              <a:noFill/>
              <a:ln>
                <a:noFill/>
              </a:ln>
              <a:effectLst/>
            </c:spPr>
            <c:txPr>
              <a:bodyPr wrap="square" lIns="38100" tIns="19050" rIns="38100" bIns="19050" anchor="ctr">
                <a:spAutoFit/>
              </a:bodyPr>
              <a:lstStyle/>
              <a:p>
                <a:pPr>
                  <a:defRPr sz="1050" b="1">
                    <a:solidFill>
                      <a:schemeClr val="accent1">
                        <a:lumMod val="75000"/>
                      </a:schemeClr>
                    </a:solidFill>
                  </a:defRPr>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'Lipník_Demografie (2)'!$A$5:$A$10</c:f>
              <c:strCache>
                <c:ptCount val="6"/>
                <c:pt idx="0">
                  <c:v>0–3</c:v>
                </c:pt>
                <c:pt idx="1">
                  <c:v>4–6</c:v>
                </c:pt>
                <c:pt idx="2">
                  <c:v>7–15</c:v>
                </c:pt>
                <c:pt idx="3">
                  <c:v>16–18</c:v>
                </c:pt>
                <c:pt idx="4">
                  <c:v>19–65</c:v>
                </c:pt>
                <c:pt idx="5">
                  <c:v>66 a více</c:v>
                </c:pt>
              </c:strCache>
            </c:strRef>
          </c:cat>
          <c:val>
            <c:numRef>
              <c:f>'Lipník_Demografie (2)'!$D$5:$D$10</c:f>
              <c:numCache>
                <c:formatCode>#,##0</c:formatCode>
                <c:ptCount val="6"/>
                <c:pt idx="0">
                  <c:v>-52</c:v>
                </c:pt>
                <c:pt idx="1">
                  <c:v>-78</c:v>
                </c:pt>
                <c:pt idx="2">
                  <c:v>-328</c:v>
                </c:pt>
                <c:pt idx="3">
                  <c:v>-172</c:v>
                </c:pt>
                <c:pt idx="4">
                  <c:v>-1176</c:v>
                </c:pt>
                <c:pt idx="5">
                  <c:v>-85</c:v>
                </c:pt>
              </c:numCache>
            </c:numRef>
          </c:val>
          <c:extLst xmlns:c16r2="http://schemas.microsoft.com/office/drawing/2015/06/chart">
            <c:ext xmlns:c16="http://schemas.microsoft.com/office/drawing/2014/chart" uri="{C3380CC4-5D6E-409C-BE32-E72D297353CC}">
              <c16:uniqueId val="{00000001-F020-4B71-9E88-86B25FE446C0}"/>
            </c:ext>
          </c:extLst>
        </c:ser>
        <c:dLbls>
          <c:showLegendKey val="0"/>
          <c:showVal val="0"/>
          <c:showCatName val="0"/>
          <c:showSerName val="0"/>
          <c:showPercent val="0"/>
          <c:showBubbleSize val="0"/>
        </c:dLbls>
        <c:gapWidth val="5"/>
        <c:overlap val="100"/>
        <c:axId val="268819072"/>
        <c:axId val="224727808"/>
        <c:extLst xmlns:c16r2="http://schemas.microsoft.com/office/drawing/2015/06/chart">
          <c:ext xmlns:c15="http://schemas.microsoft.com/office/drawing/2012/chart" uri="{02D57815-91ED-43cb-92C2-25804820EDAC}">
            <c15:filteredBarSeries>
              <c15:ser>
                <c:idx val="0"/>
                <c:order val="0"/>
                <c:tx>
                  <c:strRef>
                    <c:extLst>
                      <c:ext uri="{02D57815-91ED-43cb-92C2-25804820EDAC}">
                        <c15:formulaRef>
                          <c15:sqref>'Lipník_Demografie (2)'!$F$4</c15:sqref>
                        </c15:formulaRef>
                      </c:ext>
                    </c:extLst>
                    <c:strCache>
                      <c:ptCount val="1"/>
                      <c:pt idx="0">
                        <c:v>#ODKAZ!</c:v>
                      </c:pt>
                    </c:strCache>
                  </c:strRef>
                </c:tx>
                <c:spPr>
                  <a:solidFill>
                    <a:schemeClr val="accent2"/>
                  </a:solidFill>
                </c:spPr>
                <c:invertIfNegative val="0"/>
                <c:cat>
                  <c:strRef>
                    <c:extLst>
                      <c:ext uri="{02D57815-91ED-43cb-92C2-25804820EDAC}">
                        <c15:formulaRef>
                          <c15:sqref>'Lipník_Demografie (2)'!$A$5:$A$10</c15:sqref>
                        </c15:formulaRef>
                      </c:ext>
                    </c:extLst>
                    <c:strCache>
                      <c:ptCount val="6"/>
                      <c:pt idx="0">
                        <c:v>0–3</c:v>
                      </c:pt>
                      <c:pt idx="1">
                        <c:v>4–6</c:v>
                      </c:pt>
                      <c:pt idx="2">
                        <c:v>7–15</c:v>
                      </c:pt>
                      <c:pt idx="3">
                        <c:v>16–18</c:v>
                      </c:pt>
                      <c:pt idx="4">
                        <c:v>19–65</c:v>
                      </c:pt>
                      <c:pt idx="5">
                        <c:v>66 a více</c:v>
                      </c:pt>
                    </c:strCache>
                  </c:strRef>
                </c:cat>
                <c:val>
                  <c:numRef>
                    <c:extLst>
                      <c:ext uri="{02D57815-91ED-43cb-92C2-25804820EDAC}">
                        <c15:formulaRef>
                          <c15:sqref>'Lipník_Demografie (2)'!$F$5:$F$10</c15:sqref>
                        </c15:formulaRef>
                      </c:ext>
                    </c:extLst>
                    <c:numCache>
                      <c:formatCode>0</c:formatCode>
                      <c:ptCount val="6"/>
                    </c:numCache>
                  </c:numRef>
                </c:val>
                <c:extLst>
                  <c:ext xmlns:c16="http://schemas.microsoft.com/office/drawing/2014/chart" uri="{C3380CC4-5D6E-409C-BE32-E72D297353CC}">
                    <c16:uniqueId val="{00000002-F020-4B71-9E88-86B25FE446C0}"/>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'Lipník_Demografie (2)'!$G$4</c15:sqref>
                        </c15:formulaRef>
                      </c:ext>
                    </c:extLst>
                    <c:strCache>
                      <c:ptCount val="1"/>
                      <c:pt idx="0">
                        <c:v>#ODKAZ!</c:v>
                      </c:pt>
                    </c:strCache>
                  </c:strRef>
                </c:tx>
                <c:spPr>
                  <a:solidFill>
                    <a:schemeClr val="tx2">
                      <a:lumMod val="60000"/>
                      <a:lumOff val="40000"/>
                    </a:schemeClr>
                  </a:solidFill>
                </c:spPr>
                <c:invertIfNegative val="0"/>
                <c:cat>
                  <c:strRef>
                    <c:extLst xmlns:c15="http://schemas.microsoft.com/office/drawing/2012/chart">
                      <c:ext xmlns:c15="http://schemas.microsoft.com/office/drawing/2012/chart" uri="{02D57815-91ED-43cb-92C2-25804820EDAC}">
                        <c15:formulaRef>
                          <c15:sqref>'Lipník_Demografie (2)'!$A$5:$A$10</c15:sqref>
                        </c15:formulaRef>
                      </c:ext>
                    </c:extLst>
                    <c:strCache>
                      <c:ptCount val="6"/>
                      <c:pt idx="0">
                        <c:v>0–3</c:v>
                      </c:pt>
                      <c:pt idx="1">
                        <c:v>4–6</c:v>
                      </c:pt>
                      <c:pt idx="2">
                        <c:v>7–15</c:v>
                      </c:pt>
                      <c:pt idx="3">
                        <c:v>16–18</c:v>
                      </c:pt>
                      <c:pt idx="4">
                        <c:v>19–65</c:v>
                      </c:pt>
                      <c:pt idx="5">
                        <c:v>66 a více</c:v>
                      </c:pt>
                    </c:strCache>
                  </c:strRef>
                </c:cat>
                <c:val>
                  <c:numRef>
                    <c:extLst xmlns:c15="http://schemas.microsoft.com/office/drawing/2012/chart">
                      <c:ext xmlns:c15="http://schemas.microsoft.com/office/drawing/2012/chart" uri="{02D57815-91ED-43cb-92C2-25804820EDAC}">
                        <c15:formulaRef>
                          <c15:sqref>'Lipník_Demografie (2)'!$G$5:$G$10</c15:sqref>
                        </c15:formulaRef>
                      </c:ext>
                    </c:extLst>
                    <c:numCache>
                      <c:formatCode>0</c:formatCode>
                      <c:ptCount val="6"/>
                      <c:pt idx="0">
                        <c:v>0</c:v>
                      </c:pt>
                      <c:pt idx="1">
                        <c:v>0</c:v>
                      </c:pt>
                      <c:pt idx="2">
                        <c:v>0</c:v>
                      </c:pt>
                      <c:pt idx="3">
                        <c:v>0</c:v>
                      </c:pt>
                      <c:pt idx="4">
                        <c:v>0</c:v>
                      </c:pt>
                      <c:pt idx="5">
                        <c:v>0</c:v>
                      </c:pt>
                    </c:numCache>
                  </c:numRef>
                </c:val>
                <c:extLst xmlns:c15="http://schemas.microsoft.com/office/drawing/2012/chart">
                  <c:ext xmlns:c16="http://schemas.microsoft.com/office/drawing/2014/chart" uri="{C3380CC4-5D6E-409C-BE32-E72D297353CC}">
                    <c16:uniqueId val="{00000003-F020-4B71-9E88-86B25FE446C0}"/>
                  </c:ext>
                </c:extLst>
              </c15:ser>
            </c15:filteredBarSeries>
          </c:ext>
        </c:extLst>
      </c:barChart>
      <c:catAx>
        <c:axId val="268819072"/>
        <c:scaling>
          <c:orientation val="minMax"/>
        </c:scaling>
        <c:delete val="0"/>
        <c:axPos val="l"/>
        <c:majorGridlines>
          <c:spPr>
            <a:ln>
              <a:solidFill>
                <a:schemeClr val="bg1">
                  <a:lumMod val="85000"/>
                </a:schemeClr>
              </a:solidFill>
            </a:ln>
          </c:spPr>
        </c:majorGridlines>
        <c:title>
          <c:tx>
            <c:rich>
              <a:bodyPr rot="-5400000" vert="horz"/>
              <a:lstStyle/>
              <a:p>
                <a:pPr>
                  <a:defRPr sz="1200"/>
                </a:pPr>
                <a:r>
                  <a:rPr lang="cs-CZ" sz="1200"/>
                  <a:t>Věková skupina</a:t>
                </a:r>
              </a:p>
            </c:rich>
          </c:tx>
          <c:overlay val="0"/>
        </c:title>
        <c:numFmt formatCode="General" sourceLinked="1"/>
        <c:majorTickMark val="out"/>
        <c:minorTickMark val="none"/>
        <c:tickLblPos val="low"/>
        <c:txPr>
          <a:bodyPr/>
          <a:lstStyle/>
          <a:p>
            <a:pPr>
              <a:defRPr sz="1000"/>
            </a:pPr>
            <a:endParaRPr lang="cs-CZ"/>
          </a:p>
        </c:txPr>
        <c:crossAx val="224727808"/>
        <c:crosses val="autoZero"/>
        <c:auto val="1"/>
        <c:lblAlgn val="ctr"/>
        <c:lblOffset val="100"/>
        <c:tickLblSkip val="1"/>
        <c:noMultiLvlLbl val="0"/>
      </c:catAx>
      <c:valAx>
        <c:axId val="224727808"/>
        <c:scaling>
          <c:orientation val="minMax"/>
          <c:min val="-2500"/>
        </c:scaling>
        <c:delete val="0"/>
        <c:axPos val="b"/>
        <c:majorGridlines>
          <c:spPr>
            <a:ln>
              <a:solidFill>
                <a:schemeClr val="bg1">
                  <a:lumMod val="85000"/>
                </a:schemeClr>
              </a:solidFill>
            </a:ln>
          </c:spPr>
        </c:majorGridlines>
        <c:title>
          <c:tx>
            <c:rich>
              <a:bodyPr/>
              <a:lstStyle/>
              <a:p>
                <a:pPr>
                  <a:defRPr sz="1200"/>
                </a:pPr>
                <a:r>
                  <a:rPr lang="en-US" sz="1200"/>
                  <a:t>Počet cizinců s uděleným pobytovým oprávněním</a:t>
                </a:r>
              </a:p>
            </c:rich>
          </c:tx>
          <c:overlay val="0"/>
        </c:title>
        <c:numFmt formatCode="#,##0;[Black]#,##0" sourceLinked="0"/>
        <c:majorTickMark val="out"/>
        <c:minorTickMark val="none"/>
        <c:tickLblPos val="nextTo"/>
        <c:crossAx val="268819072"/>
        <c:crossesAt val="1"/>
        <c:crossBetween val="between"/>
      </c:valAx>
      <c:spPr>
        <a:ln>
          <a:solidFill>
            <a:schemeClr val="bg1">
              <a:lumMod val="85000"/>
            </a:schemeClr>
          </a:solidFill>
        </a:ln>
      </c:spPr>
    </c:plotArea>
    <c:legend>
      <c:legendPos val="b"/>
      <c:layout>
        <c:manualLayout>
          <c:xMode val="edge"/>
          <c:yMode val="edge"/>
          <c:x val="0.47862841880341878"/>
          <c:y val="0.90015375876522896"/>
          <c:w val="0.20013632478632479"/>
          <c:h val="7.4970619344223763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List1!$B$1</c:f>
              <c:strCache>
                <c:ptCount val="1"/>
                <c:pt idx="0">
                  <c:v>2011</c:v>
                </c:pt>
              </c:strCache>
            </c:strRef>
          </c:tx>
          <c:spPr>
            <a:solidFill>
              <a:srgbClr val="A2A2A2"/>
            </a:solidFill>
            <a:ln>
              <a:noFill/>
            </a:ln>
            <a:effectLst/>
          </c:spPr>
          <c:invertIfNegative val="0"/>
          <c:cat>
            <c:strRef>
              <c:f>List1!$A$2:$A$13</c:f>
              <c:strCache>
                <c:ptCount val="12"/>
                <c:pt idx="0">
                  <c:v>Zemědělství, lesnictví, rybářství</c:v>
                </c:pt>
                <c:pt idx="1">
                  <c:v>Průmysl</c:v>
                </c:pt>
                <c:pt idx="2">
                  <c:v>Stavebnictví</c:v>
                </c:pt>
                <c:pt idx="3">
                  <c:v>Velkoobchod a maloobchod; opravy a údržba motorových vozidel</c:v>
                </c:pt>
                <c:pt idx="4">
                  <c:v>Doprava a skladování</c:v>
                </c:pt>
                <c:pt idx="5">
                  <c:v>Ubytování, stravování a pohostinství</c:v>
                </c:pt>
                <c:pt idx="6">
                  <c:v>Informační a komunikační činnosti</c:v>
                </c:pt>
                <c:pt idx="7">
                  <c:v>Peněžnictví a pojišťovnictví</c:v>
                </c:pt>
                <c:pt idx="8">
                  <c:v>Činnosti v oblasti nemovitostí, profesní, vědecké a technické činnosti  
 a administrativní a podpůrné činnosti</c:v>
                </c:pt>
                <c:pt idx="9">
                  <c:v>Veřejná správa a obrana;
 povinné sociální zabezpečení</c:v>
                </c:pt>
                <c:pt idx="10">
                  <c:v>Vzdělávání</c:v>
                </c:pt>
                <c:pt idx="11">
                  <c:v>Zdravotní a sociální péče</c:v>
                </c:pt>
              </c:strCache>
            </c:strRef>
          </c:cat>
          <c:val>
            <c:numRef>
              <c:f>List1!$B$2:$B$13</c:f>
              <c:numCache>
                <c:formatCode>###\ ###\ ##0</c:formatCode>
                <c:ptCount val="12"/>
                <c:pt idx="0">
                  <c:v>425</c:v>
                </c:pt>
                <c:pt idx="1">
                  <c:v>8188</c:v>
                </c:pt>
                <c:pt idx="2">
                  <c:v>2893</c:v>
                </c:pt>
                <c:pt idx="3">
                  <c:v>5442</c:v>
                </c:pt>
                <c:pt idx="4">
                  <c:v>2842</c:v>
                </c:pt>
                <c:pt idx="5">
                  <c:v>1391</c:v>
                </c:pt>
                <c:pt idx="6">
                  <c:v>1469</c:v>
                </c:pt>
                <c:pt idx="7">
                  <c:v>1321</c:v>
                </c:pt>
                <c:pt idx="8">
                  <c:v>4217</c:v>
                </c:pt>
                <c:pt idx="9">
                  <c:v>3679</c:v>
                </c:pt>
                <c:pt idx="10">
                  <c:v>4397</c:v>
                </c:pt>
                <c:pt idx="11">
                  <c:v>4600</c:v>
                </c:pt>
              </c:numCache>
            </c:numRef>
          </c:val>
          <c:extLst xmlns:c16r2="http://schemas.microsoft.com/office/drawing/2015/06/chart">
            <c:ext xmlns:c16="http://schemas.microsoft.com/office/drawing/2014/chart" uri="{C3380CC4-5D6E-409C-BE32-E72D297353CC}">
              <c16:uniqueId val="{00000000-AB3C-4663-8E80-CFB7B16B5AA1}"/>
            </c:ext>
          </c:extLst>
        </c:ser>
        <c:ser>
          <c:idx val="1"/>
          <c:order val="1"/>
          <c:tx>
            <c:strRef>
              <c:f>List1!$C$1</c:f>
              <c:strCache>
                <c:ptCount val="1"/>
                <c:pt idx="0">
                  <c:v>2021</c:v>
                </c:pt>
              </c:strCache>
            </c:strRef>
          </c:tx>
          <c:spPr>
            <a:solidFill>
              <a:srgbClr val="F41E1F"/>
            </a:solidFill>
            <a:ln>
              <a:noFill/>
            </a:ln>
            <a:effectLst/>
          </c:spPr>
          <c:invertIfNegative val="0"/>
          <c:cat>
            <c:strRef>
              <c:f>List1!$A$2:$A$13</c:f>
              <c:strCache>
                <c:ptCount val="12"/>
                <c:pt idx="0">
                  <c:v>Zemědělství, lesnictví, rybářství</c:v>
                </c:pt>
                <c:pt idx="1">
                  <c:v>Průmysl</c:v>
                </c:pt>
                <c:pt idx="2">
                  <c:v>Stavebnictví</c:v>
                </c:pt>
                <c:pt idx="3">
                  <c:v>Velkoobchod a maloobchod; opravy a údržba motorových vozidel</c:v>
                </c:pt>
                <c:pt idx="4">
                  <c:v>Doprava a skladování</c:v>
                </c:pt>
                <c:pt idx="5">
                  <c:v>Ubytování, stravování a pohostinství</c:v>
                </c:pt>
                <c:pt idx="6">
                  <c:v>Informační a komunikační činnosti</c:v>
                </c:pt>
                <c:pt idx="7">
                  <c:v>Peněžnictví a pojišťovnictví</c:v>
                </c:pt>
                <c:pt idx="8">
                  <c:v>Činnosti v oblasti nemovitostí, profesní, vědecké a technické činnosti  
 a administrativní a podpůrné činnosti</c:v>
                </c:pt>
                <c:pt idx="9">
                  <c:v>Veřejná správa a obrana;
 povinné sociální zabezpečení</c:v>
                </c:pt>
                <c:pt idx="10">
                  <c:v>Vzdělávání</c:v>
                </c:pt>
                <c:pt idx="11">
                  <c:v>Zdravotní a sociální péče</c:v>
                </c:pt>
              </c:strCache>
            </c:strRef>
          </c:cat>
          <c:val>
            <c:numRef>
              <c:f>List1!$C$2:$C$13</c:f>
              <c:numCache>
                <c:formatCode>General</c:formatCode>
                <c:ptCount val="12"/>
                <c:pt idx="0" formatCode="###\ ###\ ##0">
                  <c:v>699</c:v>
                </c:pt>
                <c:pt idx="1">
                  <c:v>0</c:v>
                </c:pt>
                <c:pt idx="2" formatCode="###\ ###\ ##0">
                  <c:v>3273</c:v>
                </c:pt>
                <c:pt idx="3" formatCode="###\ ###\ ##0">
                  <c:v>6975</c:v>
                </c:pt>
                <c:pt idx="4" formatCode="###\ ###\ ##0">
                  <c:v>3367</c:v>
                </c:pt>
                <c:pt idx="5" formatCode="###\ ###\ ##0">
                  <c:v>2223</c:v>
                </c:pt>
                <c:pt idx="6" formatCode="###\ ###\ ##0">
                  <c:v>2213</c:v>
                </c:pt>
                <c:pt idx="7" formatCode="###\ ###\ ##0">
                  <c:v>1294</c:v>
                </c:pt>
                <c:pt idx="8">
                  <c:v>0</c:v>
                </c:pt>
                <c:pt idx="9" formatCode="###\ ###\ ##0">
                  <c:v>4183</c:v>
                </c:pt>
                <c:pt idx="10" formatCode="###\ ###\ ##0">
                  <c:v>5496</c:v>
                </c:pt>
                <c:pt idx="11" formatCode="###\ ###\ ##0">
                  <c:v>6014</c:v>
                </c:pt>
              </c:numCache>
            </c:numRef>
          </c:val>
          <c:extLst xmlns:c16r2="http://schemas.microsoft.com/office/drawing/2015/06/chart">
            <c:ext xmlns:c16="http://schemas.microsoft.com/office/drawing/2014/chart" uri="{C3380CC4-5D6E-409C-BE32-E72D297353CC}">
              <c16:uniqueId val="{00000001-AB3C-4663-8E80-CFB7B16B5AA1}"/>
            </c:ext>
          </c:extLst>
        </c:ser>
        <c:dLbls>
          <c:showLegendKey val="0"/>
          <c:showVal val="0"/>
          <c:showCatName val="0"/>
          <c:showSerName val="0"/>
          <c:showPercent val="0"/>
          <c:showBubbleSize val="0"/>
        </c:dLbls>
        <c:gapWidth val="182"/>
        <c:axId val="224755072"/>
        <c:axId val="224769152"/>
      </c:barChart>
      <c:catAx>
        <c:axId val="224755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224769152"/>
        <c:crosses val="autoZero"/>
        <c:auto val="1"/>
        <c:lblAlgn val="ctr"/>
        <c:lblOffset val="100"/>
        <c:noMultiLvlLbl val="0"/>
      </c:catAx>
      <c:valAx>
        <c:axId val="224769152"/>
        <c:scaling>
          <c:orientation val="minMax"/>
          <c:max val="9000"/>
          <c:min val="0"/>
        </c:scaling>
        <c:delete val="0"/>
        <c:axPos val="b"/>
        <c:majorGridlines>
          <c:spPr>
            <a:ln w="9525" cap="flat" cmpd="sng" algn="ctr">
              <a:solidFill>
                <a:schemeClr val="tx1">
                  <a:lumMod val="15000"/>
                  <a:lumOff val="85000"/>
                </a:schemeClr>
              </a:solidFill>
              <a:round/>
            </a:ln>
            <a:effectLst/>
          </c:spPr>
        </c:majorGridlines>
        <c:numFmt formatCode="###\ ###\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224755072"/>
        <c:crosses val="autoZero"/>
        <c:crossBetween val="between"/>
        <c:majorUnit val="2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List1!$B$1</c:f>
              <c:strCache>
                <c:ptCount val="1"/>
                <c:pt idx="0">
                  <c:v> Olomouc</c:v>
                </c:pt>
              </c:strCache>
            </c:strRef>
          </c:tx>
          <c:spPr>
            <a:ln w="28575" cap="rnd">
              <a:solidFill>
                <a:schemeClr val="accent1"/>
              </a:solidFill>
              <a:round/>
            </a:ln>
            <a:effectLst/>
          </c:spPr>
          <c:marker>
            <c:symbol val="none"/>
          </c:marker>
          <c:cat>
            <c:numRef>
              <c:f>List1!$A$2:$A$8</c:f>
              <c:numCache>
                <c:formatCode>General</c:formatCode>
                <c:ptCount val="7"/>
                <c:pt idx="0">
                  <c:v>2017</c:v>
                </c:pt>
                <c:pt idx="1">
                  <c:v>2018</c:v>
                </c:pt>
                <c:pt idx="2">
                  <c:v>2019</c:v>
                </c:pt>
                <c:pt idx="3">
                  <c:v>2020</c:v>
                </c:pt>
                <c:pt idx="4">
                  <c:v>2021</c:v>
                </c:pt>
                <c:pt idx="5">
                  <c:v>2022</c:v>
                </c:pt>
                <c:pt idx="6">
                  <c:v>2023</c:v>
                </c:pt>
              </c:numCache>
            </c:numRef>
          </c:cat>
          <c:val>
            <c:numRef>
              <c:f>List1!$B$2:$B$8</c:f>
              <c:numCache>
                <c:formatCode>0.0</c:formatCode>
                <c:ptCount val="7"/>
                <c:pt idx="0">
                  <c:v>4.1500000000000004</c:v>
                </c:pt>
                <c:pt idx="1">
                  <c:v>3</c:v>
                </c:pt>
                <c:pt idx="2">
                  <c:v>2.76</c:v>
                </c:pt>
                <c:pt idx="3">
                  <c:v>4.09</c:v>
                </c:pt>
                <c:pt idx="4">
                  <c:v>3.28</c:v>
                </c:pt>
                <c:pt idx="5">
                  <c:v>3.51</c:v>
                </c:pt>
                <c:pt idx="6">
                  <c:v>3.84</c:v>
                </c:pt>
              </c:numCache>
            </c:numRef>
          </c:val>
          <c:smooth val="0"/>
          <c:extLst xmlns:c16r2="http://schemas.microsoft.com/office/drawing/2015/06/chart">
            <c:ext xmlns:c16="http://schemas.microsoft.com/office/drawing/2014/chart" uri="{C3380CC4-5D6E-409C-BE32-E72D297353CC}">
              <c16:uniqueId val="{00000000-CCC6-4FF4-A802-2477291B27FB}"/>
            </c:ext>
          </c:extLst>
        </c:ser>
        <c:ser>
          <c:idx val="1"/>
          <c:order val="1"/>
          <c:tx>
            <c:strRef>
              <c:f>List1!$C$1</c:f>
              <c:strCache>
                <c:ptCount val="1"/>
                <c:pt idx="0">
                  <c:v> Liberec</c:v>
                </c:pt>
              </c:strCache>
            </c:strRef>
          </c:tx>
          <c:spPr>
            <a:ln w="28575" cap="rnd">
              <a:solidFill>
                <a:schemeClr val="accent2"/>
              </a:solidFill>
              <a:round/>
            </a:ln>
            <a:effectLst/>
          </c:spPr>
          <c:marker>
            <c:symbol val="none"/>
          </c:marker>
          <c:cat>
            <c:numRef>
              <c:f>List1!$A$2:$A$8</c:f>
              <c:numCache>
                <c:formatCode>General</c:formatCode>
                <c:ptCount val="7"/>
                <c:pt idx="0">
                  <c:v>2017</c:v>
                </c:pt>
                <c:pt idx="1">
                  <c:v>2018</c:v>
                </c:pt>
                <c:pt idx="2">
                  <c:v>2019</c:v>
                </c:pt>
                <c:pt idx="3">
                  <c:v>2020</c:v>
                </c:pt>
                <c:pt idx="4">
                  <c:v>2021</c:v>
                </c:pt>
                <c:pt idx="5">
                  <c:v>2022</c:v>
                </c:pt>
                <c:pt idx="6">
                  <c:v>2023</c:v>
                </c:pt>
              </c:numCache>
            </c:numRef>
          </c:cat>
          <c:val>
            <c:numRef>
              <c:f>List1!$C$2:$C$8</c:f>
              <c:numCache>
                <c:formatCode>0.0</c:formatCode>
                <c:ptCount val="7"/>
                <c:pt idx="0">
                  <c:v>4.25</c:v>
                </c:pt>
                <c:pt idx="1">
                  <c:v>3.42</c:v>
                </c:pt>
                <c:pt idx="2">
                  <c:v>2.95</c:v>
                </c:pt>
                <c:pt idx="3">
                  <c:v>4.1500000000000004</c:v>
                </c:pt>
                <c:pt idx="4">
                  <c:v>3.68</c:v>
                </c:pt>
                <c:pt idx="5">
                  <c:v>3.77</c:v>
                </c:pt>
                <c:pt idx="6">
                  <c:v>3.56</c:v>
                </c:pt>
              </c:numCache>
            </c:numRef>
          </c:val>
          <c:smooth val="0"/>
          <c:extLst xmlns:c16r2="http://schemas.microsoft.com/office/drawing/2015/06/chart">
            <c:ext xmlns:c16="http://schemas.microsoft.com/office/drawing/2014/chart" uri="{C3380CC4-5D6E-409C-BE32-E72D297353CC}">
              <c16:uniqueId val="{00000001-CCC6-4FF4-A802-2477291B27FB}"/>
            </c:ext>
          </c:extLst>
        </c:ser>
        <c:ser>
          <c:idx val="2"/>
          <c:order val="2"/>
          <c:tx>
            <c:strRef>
              <c:f>List1!$D$1</c:f>
              <c:strCache>
                <c:ptCount val="1"/>
                <c:pt idx="0">
                  <c:v> České Budějovice</c:v>
                </c:pt>
              </c:strCache>
            </c:strRef>
          </c:tx>
          <c:spPr>
            <a:ln w="28575" cap="rnd">
              <a:solidFill>
                <a:schemeClr val="accent3"/>
              </a:solidFill>
              <a:round/>
            </a:ln>
            <a:effectLst/>
          </c:spPr>
          <c:marker>
            <c:symbol val="none"/>
          </c:marker>
          <c:cat>
            <c:numRef>
              <c:f>List1!$A$2:$A$8</c:f>
              <c:numCache>
                <c:formatCode>General</c:formatCode>
                <c:ptCount val="7"/>
                <c:pt idx="0">
                  <c:v>2017</c:v>
                </c:pt>
                <c:pt idx="1">
                  <c:v>2018</c:v>
                </c:pt>
                <c:pt idx="2">
                  <c:v>2019</c:v>
                </c:pt>
                <c:pt idx="3">
                  <c:v>2020</c:v>
                </c:pt>
                <c:pt idx="4">
                  <c:v>2021</c:v>
                </c:pt>
                <c:pt idx="5">
                  <c:v>2022</c:v>
                </c:pt>
                <c:pt idx="6">
                  <c:v>2023</c:v>
                </c:pt>
              </c:numCache>
            </c:numRef>
          </c:cat>
          <c:val>
            <c:numRef>
              <c:f>List1!$D$2:$D$8</c:f>
              <c:numCache>
                <c:formatCode>0.0</c:formatCode>
                <c:ptCount val="7"/>
                <c:pt idx="0">
                  <c:v>2.72</c:v>
                </c:pt>
                <c:pt idx="1">
                  <c:v>2.11</c:v>
                </c:pt>
                <c:pt idx="2">
                  <c:v>1.97</c:v>
                </c:pt>
                <c:pt idx="3">
                  <c:v>3.35</c:v>
                </c:pt>
                <c:pt idx="4">
                  <c:v>2.73</c:v>
                </c:pt>
                <c:pt idx="5">
                  <c:v>2.86</c:v>
                </c:pt>
                <c:pt idx="6">
                  <c:v>3.07</c:v>
                </c:pt>
              </c:numCache>
            </c:numRef>
          </c:val>
          <c:smooth val="0"/>
          <c:extLst xmlns:c16r2="http://schemas.microsoft.com/office/drawing/2015/06/chart">
            <c:ext xmlns:c16="http://schemas.microsoft.com/office/drawing/2014/chart" uri="{C3380CC4-5D6E-409C-BE32-E72D297353CC}">
              <c16:uniqueId val="{00000002-CCC6-4FF4-A802-2477291B27FB}"/>
            </c:ext>
          </c:extLst>
        </c:ser>
        <c:ser>
          <c:idx val="3"/>
          <c:order val="3"/>
          <c:tx>
            <c:strRef>
              <c:f>List1!$E$1</c:f>
              <c:strCache>
                <c:ptCount val="1"/>
                <c:pt idx="0">
                  <c:v> Ústí nad Labem</c:v>
                </c:pt>
              </c:strCache>
            </c:strRef>
          </c:tx>
          <c:spPr>
            <a:ln w="28575" cap="rnd">
              <a:solidFill>
                <a:schemeClr val="accent4"/>
              </a:solidFill>
              <a:round/>
            </a:ln>
            <a:effectLst/>
          </c:spPr>
          <c:marker>
            <c:symbol val="none"/>
          </c:marker>
          <c:cat>
            <c:numRef>
              <c:f>List1!$A$2:$A$8</c:f>
              <c:numCache>
                <c:formatCode>General</c:formatCode>
                <c:ptCount val="7"/>
                <c:pt idx="0">
                  <c:v>2017</c:v>
                </c:pt>
                <c:pt idx="1">
                  <c:v>2018</c:v>
                </c:pt>
                <c:pt idx="2">
                  <c:v>2019</c:v>
                </c:pt>
                <c:pt idx="3">
                  <c:v>2020</c:v>
                </c:pt>
                <c:pt idx="4">
                  <c:v>2021</c:v>
                </c:pt>
                <c:pt idx="5">
                  <c:v>2022</c:v>
                </c:pt>
                <c:pt idx="6">
                  <c:v>2023</c:v>
                </c:pt>
              </c:numCache>
            </c:numRef>
          </c:cat>
          <c:val>
            <c:numRef>
              <c:f>List1!$E$2:$E$8</c:f>
              <c:numCache>
                <c:formatCode>0.0</c:formatCode>
                <c:ptCount val="7"/>
                <c:pt idx="0">
                  <c:v>6.21</c:v>
                </c:pt>
                <c:pt idx="1">
                  <c:v>5.31</c:v>
                </c:pt>
                <c:pt idx="2">
                  <c:v>4.3099999999999996</c:v>
                </c:pt>
                <c:pt idx="3">
                  <c:v>5.97</c:v>
                </c:pt>
                <c:pt idx="4">
                  <c:v>5.89</c:v>
                </c:pt>
                <c:pt idx="5">
                  <c:v>6.33</c:v>
                </c:pt>
                <c:pt idx="6">
                  <c:v>6.26</c:v>
                </c:pt>
              </c:numCache>
            </c:numRef>
          </c:val>
          <c:smooth val="0"/>
          <c:extLst xmlns:c16r2="http://schemas.microsoft.com/office/drawing/2015/06/chart">
            <c:ext xmlns:c16="http://schemas.microsoft.com/office/drawing/2014/chart" uri="{C3380CC4-5D6E-409C-BE32-E72D297353CC}">
              <c16:uniqueId val="{00000003-CCC6-4FF4-A802-2477291B27FB}"/>
            </c:ext>
          </c:extLst>
        </c:ser>
        <c:ser>
          <c:idx val="4"/>
          <c:order val="4"/>
          <c:tx>
            <c:strRef>
              <c:f>List1!$F$1</c:f>
              <c:strCache>
                <c:ptCount val="1"/>
                <c:pt idx="0">
                  <c:v> Hradec Králové</c:v>
                </c:pt>
              </c:strCache>
            </c:strRef>
          </c:tx>
          <c:spPr>
            <a:ln w="28575" cap="rnd">
              <a:solidFill>
                <a:schemeClr val="accent5"/>
              </a:solidFill>
              <a:round/>
            </a:ln>
            <a:effectLst/>
          </c:spPr>
          <c:marker>
            <c:symbol val="none"/>
          </c:marker>
          <c:cat>
            <c:numRef>
              <c:f>List1!$A$2:$A$8</c:f>
              <c:numCache>
                <c:formatCode>General</c:formatCode>
                <c:ptCount val="7"/>
                <c:pt idx="0">
                  <c:v>2017</c:v>
                </c:pt>
                <c:pt idx="1">
                  <c:v>2018</c:v>
                </c:pt>
                <c:pt idx="2">
                  <c:v>2019</c:v>
                </c:pt>
                <c:pt idx="3">
                  <c:v>2020</c:v>
                </c:pt>
                <c:pt idx="4">
                  <c:v>2021</c:v>
                </c:pt>
                <c:pt idx="5">
                  <c:v>2022</c:v>
                </c:pt>
                <c:pt idx="6">
                  <c:v>2023</c:v>
                </c:pt>
              </c:numCache>
            </c:numRef>
          </c:cat>
          <c:val>
            <c:numRef>
              <c:f>List1!$F$2:$F$8</c:f>
              <c:numCache>
                <c:formatCode>0.0</c:formatCode>
                <c:ptCount val="7"/>
                <c:pt idx="0">
                  <c:v>2.8</c:v>
                </c:pt>
                <c:pt idx="1">
                  <c:v>2.27</c:v>
                </c:pt>
                <c:pt idx="2">
                  <c:v>2.33</c:v>
                </c:pt>
                <c:pt idx="3">
                  <c:v>3.29</c:v>
                </c:pt>
                <c:pt idx="4">
                  <c:v>2.59</c:v>
                </c:pt>
                <c:pt idx="5">
                  <c:v>2.85</c:v>
                </c:pt>
                <c:pt idx="6">
                  <c:v>3.05</c:v>
                </c:pt>
              </c:numCache>
            </c:numRef>
          </c:val>
          <c:smooth val="0"/>
          <c:extLst xmlns:c16r2="http://schemas.microsoft.com/office/drawing/2015/06/chart">
            <c:ext xmlns:c16="http://schemas.microsoft.com/office/drawing/2014/chart" uri="{C3380CC4-5D6E-409C-BE32-E72D297353CC}">
              <c16:uniqueId val="{00000004-CCC6-4FF4-A802-2477291B27FB}"/>
            </c:ext>
          </c:extLst>
        </c:ser>
        <c:dLbls>
          <c:showLegendKey val="0"/>
          <c:showVal val="0"/>
          <c:showCatName val="0"/>
          <c:showSerName val="0"/>
          <c:showPercent val="0"/>
          <c:showBubbleSize val="0"/>
        </c:dLbls>
        <c:marker val="1"/>
        <c:smooth val="0"/>
        <c:axId val="256051840"/>
        <c:axId val="256057728"/>
      </c:lineChart>
      <c:catAx>
        <c:axId val="25605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crossAx val="256057728"/>
        <c:crosses val="autoZero"/>
        <c:auto val="1"/>
        <c:lblAlgn val="ctr"/>
        <c:lblOffset val="100"/>
        <c:noMultiLvlLbl val="0"/>
      </c:catAx>
      <c:valAx>
        <c:axId val="256057728"/>
        <c:scaling>
          <c:orientation val="minMax"/>
          <c:max val="6.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cs-CZ"/>
                  <a:t>Podíl nezaměstnaných  osob v %</a:t>
                </a:r>
              </a:p>
            </c:rich>
          </c:tx>
          <c:layout>
            <c:manualLayout>
              <c:xMode val="edge"/>
              <c:yMode val="edge"/>
              <c:x val="1.1025358324145534E-2"/>
              <c:y val="4.8511576626240352E-2"/>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crossAx val="256051840"/>
        <c:crosses val="autoZero"/>
        <c:crossBetween val="between"/>
        <c:maj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cs-C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List1!$B$1</c:f>
              <c:strCache>
                <c:ptCount val="1"/>
                <c:pt idx="0">
                  <c:v>Počet žáků v MŠ</c:v>
                </c:pt>
              </c:strCache>
            </c:strRef>
          </c:tx>
          <c:spPr>
            <a:ln w="28575" cap="rnd">
              <a:solidFill>
                <a:srgbClr val="F41E1F"/>
              </a:solidFill>
              <a:round/>
            </a:ln>
            <a:effectLst/>
          </c:spPr>
          <c:marker>
            <c:symbol val="none"/>
          </c:marker>
          <c:dLbls>
            <c:dLbl>
              <c:idx val="2"/>
              <c:layout>
                <c:manualLayout>
                  <c:x val="-4.1944444444444444E-2"/>
                  <c:y val="-4.957349081364829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EF1C-4171-8597-35767867AF6A}"/>
                </c:ext>
              </c:extLst>
            </c:dLbl>
            <c:dLbl>
              <c:idx val="4"/>
              <c:layout>
                <c:manualLayout>
                  <c:x val="-4.2847222222222224E-2"/>
                  <c:y val="-5.227190351206099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B17-463F-A2BA-BD0DE6491E83}"/>
                </c:ext>
              </c:extLst>
            </c:dLbl>
            <c:dLbl>
              <c:idx val="5"/>
              <c:layout>
                <c:manualLayout>
                  <c:x val="-4.2847222222222224E-2"/>
                  <c:y val="-6.417666541682293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B17-463F-A2BA-BD0DE6491E83}"/>
                </c:ext>
              </c:extLst>
            </c:dLbl>
            <c:dLbl>
              <c:idx val="7"/>
              <c:layout>
                <c:manualLayout>
                  <c:x val="-9.5370370370369516E-3"/>
                  <c:y val="-4.163698287714035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EF1C-4171-8597-35767867AF6A}"/>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List1!$A$2:$A$11</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List1!$B$2:$B$11</c:f>
              <c:numCache>
                <c:formatCode>#,##0</c:formatCode>
                <c:ptCount val="10"/>
                <c:pt idx="0">
                  <c:v>3588</c:v>
                </c:pt>
                <c:pt idx="1">
                  <c:v>3627</c:v>
                </c:pt>
                <c:pt idx="2">
                  <c:v>3588</c:v>
                </c:pt>
                <c:pt idx="3">
                  <c:v>3614</c:v>
                </c:pt>
                <c:pt idx="4">
                  <c:v>3570</c:v>
                </c:pt>
                <c:pt idx="5">
                  <c:v>3544</c:v>
                </c:pt>
                <c:pt idx="6">
                  <c:v>3585</c:v>
                </c:pt>
                <c:pt idx="7">
                  <c:v>3437</c:v>
                </c:pt>
                <c:pt idx="8">
                  <c:v>3424</c:v>
                </c:pt>
                <c:pt idx="9">
                  <c:v>3434</c:v>
                </c:pt>
              </c:numCache>
            </c:numRef>
          </c:val>
          <c:smooth val="0"/>
          <c:extLst xmlns:c16r2="http://schemas.microsoft.com/office/drawing/2015/06/chart">
            <c:ext xmlns:c16="http://schemas.microsoft.com/office/drawing/2014/chart" uri="{C3380CC4-5D6E-409C-BE32-E72D297353CC}">
              <c16:uniqueId val="{00000000-EF1C-4171-8597-35767867AF6A}"/>
            </c:ext>
          </c:extLst>
        </c:ser>
        <c:dLbls>
          <c:dLblPos val="t"/>
          <c:showLegendKey val="0"/>
          <c:showVal val="1"/>
          <c:showCatName val="0"/>
          <c:showSerName val="0"/>
          <c:showPercent val="0"/>
          <c:showBubbleSize val="0"/>
        </c:dLbls>
        <c:marker val="1"/>
        <c:smooth val="0"/>
        <c:axId val="256087936"/>
        <c:axId val="256094976"/>
      </c:lineChart>
      <c:catAx>
        <c:axId val="25608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crossAx val="256094976"/>
        <c:crosses val="autoZero"/>
        <c:auto val="1"/>
        <c:lblAlgn val="ctr"/>
        <c:lblOffset val="100"/>
        <c:noMultiLvlLbl val="0"/>
      </c:catAx>
      <c:valAx>
        <c:axId val="256094976"/>
        <c:scaling>
          <c:orientation val="minMax"/>
          <c:min val="340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crossAx val="256087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cs-CZ"/>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rgbClr val="F41E1F"/>
              </a:solidFill>
              <a:round/>
            </a:ln>
            <a:effectLst/>
          </c:spPr>
          <c:marker>
            <c:symbol val="none"/>
          </c:marker>
          <c:dLbls>
            <c:dLbl>
              <c:idx val="0"/>
              <c:layout>
                <c:manualLayout>
                  <c:x val="-4.8055555555555574E-2"/>
                  <c:y val="-6.417666541682297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BBC-47AB-B3A4-1F3FCDAB45CD}"/>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List1!$A$2:$A$12</c:f>
              <c:strCache>
                <c:ptCount val="11"/>
                <c:pt idx="1">
                  <c:v>2013/2014</c:v>
                </c:pt>
                <c:pt idx="2">
                  <c:v>2014/2015</c:v>
                </c:pt>
                <c:pt idx="3">
                  <c:v>2015/2016</c:v>
                </c:pt>
                <c:pt idx="4">
                  <c:v>2016/2017</c:v>
                </c:pt>
                <c:pt idx="5">
                  <c:v>2017/2018</c:v>
                </c:pt>
                <c:pt idx="6">
                  <c:v>2018/2019</c:v>
                </c:pt>
                <c:pt idx="7">
                  <c:v>2019/2020</c:v>
                </c:pt>
                <c:pt idx="8">
                  <c:v>2020/2021</c:v>
                </c:pt>
                <c:pt idx="9">
                  <c:v>2021/2022</c:v>
                </c:pt>
                <c:pt idx="10">
                  <c:v>2022/2023</c:v>
                </c:pt>
              </c:strCache>
            </c:strRef>
          </c:cat>
          <c:val>
            <c:numRef>
              <c:f>List1!$B$2:$B$12</c:f>
              <c:numCache>
                <c:formatCode>#,##0</c:formatCode>
                <c:ptCount val="11"/>
                <c:pt idx="0" formatCode="General">
                  <c:v>0</c:v>
                </c:pt>
                <c:pt idx="1">
                  <c:v>7556</c:v>
                </c:pt>
                <c:pt idx="2">
                  <c:v>7912</c:v>
                </c:pt>
                <c:pt idx="3">
                  <c:v>8254</c:v>
                </c:pt>
                <c:pt idx="4">
                  <c:v>8508</c:v>
                </c:pt>
                <c:pt idx="5">
                  <c:v>8788</c:v>
                </c:pt>
                <c:pt idx="6">
                  <c:v>9025</c:v>
                </c:pt>
                <c:pt idx="7">
                  <c:v>9059</c:v>
                </c:pt>
                <c:pt idx="8">
                  <c:v>9006</c:v>
                </c:pt>
                <c:pt idx="9">
                  <c:v>8994</c:v>
                </c:pt>
                <c:pt idx="10">
                  <c:v>9283</c:v>
                </c:pt>
              </c:numCache>
            </c:numRef>
          </c:val>
          <c:smooth val="0"/>
          <c:extLst xmlns:c16r2="http://schemas.microsoft.com/office/drawing/2015/06/chart">
            <c:ext xmlns:c16="http://schemas.microsoft.com/office/drawing/2014/chart" uri="{C3380CC4-5D6E-409C-BE32-E72D297353CC}">
              <c16:uniqueId val="{00000000-B081-4E40-BA87-E1A4E63CCC5F}"/>
            </c:ext>
          </c:extLst>
        </c:ser>
        <c:dLbls>
          <c:dLblPos val="t"/>
          <c:showLegendKey val="0"/>
          <c:showVal val="1"/>
          <c:showCatName val="0"/>
          <c:showSerName val="0"/>
          <c:showPercent val="0"/>
          <c:showBubbleSize val="0"/>
        </c:dLbls>
        <c:marker val="1"/>
        <c:smooth val="0"/>
        <c:axId val="256144128"/>
        <c:axId val="256146816"/>
      </c:lineChart>
      <c:catAx>
        <c:axId val="25614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crossAx val="256146816"/>
        <c:crosses val="autoZero"/>
        <c:auto val="1"/>
        <c:lblAlgn val="ctr"/>
        <c:lblOffset val="100"/>
        <c:noMultiLvlLbl val="0"/>
      </c:catAx>
      <c:valAx>
        <c:axId val="256146816"/>
        <c:scaling>
          <c:orientation val="minMax"/>
          <c:min val="75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crossAx val="2561441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cs-C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List1!$A$2</c:f>
              <c:strCache>
                <c:ptCount val="1"/>
                <c:pt idx="0">
                  <c:v>Univerzita Palackého v Olomouci</c:v>
                </c:pt>
              </c:strCache>
            </c:strRef>
          </c:tx>
          <c:spPr>
            <a:ln w="28575" cap="rnd">
              <a:solidFill>
                <a:srgbClr val="27318A"/>
              </a:solidFill>
              <a:round/>
            </a:ln>
            <a:effectLst/>
          </c:spPr>
          <c:marker>
            <c:symbol val="none"/>
          </c:marker>
          <c:dLbls>
            <c:dLbl>
              <c:idx val="5"/>
              <c:layout>
                <c:manualLayout>
                  <c:x val="-5.2106481481481649E-2"/>
                  <c:y val="-6.020841144856892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A12-4340-9DA5-01F76AA77FB4}"/>
                </c:ext>
              </c:extLst>
            </c:dLbl>
            <c:dLbl>
              <c:idx val="6"/>
              <c:layout>
                <c:manualLayout>
                  <c:x val="-3.1273148148148321E-2"/>
                  <c:y val="-2.846237970253718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A12-4340-9DA5-01F76AA77F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List1!$B$1:$H$1</c:f>
              <c:strCache>
                <c:ptCount val="7"/>
                <c:pt idx="0">
                  <c:v>2017</c:v>
                </c:pt>
                <c:pt idx="1">
                  <c:v>2018</c:v>
                </c:pt>
                <c:pt idx="2">
                  <c:v>2019</c:v>
                </c:pt>
                <c:pt idx="3">
                  <c:v>2020</c:v>
                </c:pt>
                <c:pt idx="4">
                  <c:v>2021</c:v>
                </c:pt>
                <c:pt idx="5">
                  <c:v>2022</c:v>
                </c:pt>
                <c:pt idx="6">
                  <c:v>2023</c:v>
                </c:pt>
              </c:strCache>
            </c:strRef>
          </c:cat>
          <c:val>
            <c:numRef>
              <c:f>List1!$B$2:$H$2</c:f>
              <c:numCache>
                <c:formatCode>#,##0</c:formatCode>
                <c:ptCount val="7"/>
                <c:pt idx="0">
                  <c:v>3883</c:v>
                </c:pt>
                <c:pt idx="1">
                  <c:v>3828</c:v>
                </c:pt>
                <c:pt idx="2">
                  <c:v>3656</c:v>
                </c:pt>
                <c:pt idx="3">
                  <c:v>3621</c:v>
                </c:pt>
                <c:pt idx="4">
                  <c:v>3544</c:v>
                </c:pt>
                <c:pt idx="5">
                  <c:v>3618</c:v>
                </c:pt>
                <c:pt idx="6">
                  <c:v>4072</c:v>
                </c:pt>
              </c:numCache>
            </c:numRef>
          </c:val>
          <c:smooth val="0"/>
          <c:extLst xmlns:c16r2="http://schemas.microsoft.com/office/drawing/2015/06/chart">
            <c:ext xmlns:c16="http://schemas.microsoft.com/office/drawing/2014/chart" uri="{C3380CC4-5D6E-409C-BE32-E72D297353CC}">
              <c16:uniqueId val="{00000000-48C7-4BE9-B82F-346328C528F3}"/>
            </c:ext>
          </c:extLst>
        </c:ser>
        <c:ser>
          <c:idx val="2"/>
          <c:order val="1"/>
          <c:tx>
            <c:strRef>
              <c:f>List1!$A$4</c:f>
              <c:strCache>
                <c:ptCount val="1"/>
                <c:pt idx="0">
                  <c:v>Celkem (vč. Moravské vysoké školy Olomouc)</c:v>
                </c:pt>
              </c:strCache>
            </c:strRef>
          </c:tx>
          <c:spPr>
            <a:ln w="28575" cap="rnd">
              <a:solidFill>
                <a:srgbClr val="F41E1F"/>
              </a:solidFill>
              <a:round/>
            </a:ln>
            <a:effectLst/>
          </c:spPr>
          <c:marker>
            <c:symbol val="none"/>
          </c:marker>
          <c:dLbls>
            <c:dLbl>
              <c:idx val="2"/>
              <c:layout>
                <c:manualLayout>
                  <c:x val="-2.8958333333333332E-2"/>
                  <c:y val="-5.227190351206099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A12-4340-9DA5-01F76AA77FB4}"/>
                </c:ext>
              </c:extLst>
            </c:dLbl>
            <c:dLbl>
              <c:idx val="5"/>
              <c:layout>
                <c:manualLayout>
                  <c:x val="-4.9791666666666755E-2"/>
                  <c:y val="-6.417666541682290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A12-4340-9DA5-01F76AA77F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List1!$B$1:$H$1</c:f>
              <c:strCache>
                <c:ptCount val="7"/>
                <c:pt idx="0">
                  <c:v>2017</c:v>
                </c:pt>
                <c:pt idx="1">
                  <c:v>2018</c:v>
                </c:pt>
                <c:pt idx="2">
                  <c:v>2019</c:v>
                </c:pt>
                <c:pt idx="3">
                  <c:v>2020</c:v>
                </c:pt>
                <c:pt idx="4">
                  <c:v>2021</c:v>
                </c:pt>
                <c:pt idx="5">
                  <c:v>2022</c:v>
                </c:pt>
                <c:pt idx="6">
                  <c:v>2023</c:v>
                </c:pt>
              </c:strCache>
            </c:strRef>
          </c:cat>
          <c:val>
            <c:numRef>
              <c:f>List1!$B$4:$H$4</c:f>
              <c:numCache>
                <c:formatCode>#,##0</c:formatCode>
                <c:ptCount val="7"/>
                <c:pt idx="0">
                  <c:v>4187</c:v>
                </c:pt>
                <c:pt idx="1">
                  <c:v>4133</c:v>
                </c:pt>
                <c:pt idx="2">
                  <c:v>3884</c:v>
                </c:pt>
                <c:pt idx="3">
                  <c:v>3880</c:v>
                </c:pt>
                <c:pt idx="4">
                  <c:v>3771</c:v>
                </c:pt>
                <c:pt idx="5">
                  <c:v>3832</c:v>
                </c:pt>
                <c:pt idx="6">
                  <c:v>4242</c:v>
                </c:pt>
              </c:numCache>
            </c:numRef>
          </c:val>
          <c:smooth val="0"/>
          <c:extLst xmlns:c16r2="http://schemas.microsoft.com/office/drawing/2015/06/chart">
            <c:ext xmlns:c16="http://schemas.microsoft.com/office/drawing/2014/chart" uri="{C3380CC4-5D6E-409C-BE32-E72D297353CC}">
              <c16:uniqueId val="{00000002-48C7-4BE9-B82F-346328C528F3}"/>
            </c:ext>
          </c:extLst>
        </c:ser>
        <c:dLbls>
          <c:dLblPos val="t"/>
          <c:showLegendKey val="0"/>
          <c:showVal val="1"/>
          <c:showCatName val="0"/>
          <c:showSerName val="0"/>
          <c:showPercent val="0"/>
          <c:showBubbleSize val="0"/>
        </c:dLbls>
        <c:marker val="1"/>
        <c:smooth val="0"/>
        <c:axId val="256454016"/>
        <c:axId val="256455808"/>
      </c:lineChart>
      <c:catAx>
        <c:axId val="25645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256455808"/>
        <c:crosses val="autoZero"/>
        <c:auto val="1"/>
        <c:lblAlgn val="ctr"/>
        <c:lblOffset val="100"/>
        <c:noMultiLvlLbl val="0"/>
      </c:catAx>
      <c:valAx>
        <c:axId val="256455808"/>
        <c:scaling>
          <c:orientation val="minMax"/>
          <c:min val="350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256454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cs-CZ"/>
    </a:p>
  </c:txPr>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950B4-E158-4F15-983B-437C28918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19</Pages>
  <Words>5512</Words>
  <Characters>32522</Characters>
  <Application>Microsoft Office Word</Application>
  <DocSecurity>0</DocSecurity>
  <Lines>271</Lines>
  <Paragraphs>75</Paragraphs>
  <ScaleCrop>false</ScaleCrop>
  <HeadingPairs>
    <vt:vector size="2" baseType="variant">
      <vt:variant>
        <vt:lpstr>Název</vt:lpstr>
      </vt:variant>
      <vt:variant>
        <vt:i4>1</vt:i4>
      </vt:variant>
    </vt:vector>
  </HeadingPairs>
  <TitlesOfParts>
    <vt:vector size="1" baseType="lpstr">
      <vt:lpstr/>
    </vt:vector>
  </TitlesOfParts>
  <Company>MMOL</Company>
  <LinksUpToDate>false</LinksUpToDate>
  <CharactersWithSpaces>37959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Prachniarová Dagmar</dc:creator>
  <cp:lastModifiedBy>Prachniarová Dagmar</cp:lastModifiedBy>
  <cp:revision>22</cp:revision>
  <cp:lastPrinted>2025-04-24T07:05:00Z</cp:lastPrinted>
  <dcterms:created xsi:type="dcterms:W3CDTF">2025-03-19T10:51:00Z</dcterms:created>
  <dcterms:modified xsi:type="dcterms:W3CDTF">2025-07-22T11:48:00Z</dcterms:modified>
</cp:coreProperties>
</file>