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D31" w:rsidRDefault="00567D31" w:rsidP="00567D31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Dodatek č. </w:t>
      </w:r>
      <w:r w:rsidR="00443A25">
        <w:rPr>
          <w:rFonts w:ascii="Arial" w:hAnsi="Arial"/>
          <w:b/>
          <w:sz w:val="24"/>
        </w:rPr>
        <w:t>2</w:t>
      </w:r>
      <w:r>
        <w:rPr>
          <w:rFonts w:ascii="Arial" w:hAnsi="Arial"/>
          <w:b/>
          <w:sz w:val="24"/>
        </w:rPr>
        <w:t xml:space="preserve"> </w:t>
      </w:r>
    </w:p>
    <w:p w:rsidR="00567D31" w:rsidRDefault="00567D31" w:rsidP="00567D31">
      <w:pPr>
        <w:jc w:val="center"/>
        <w:rPr>
          <w:rFonts w:ascii="Arial" w:hAnsi="Arial"/>
          <w:b/>
          <w:sz w:val="24"/>
        </w:rPr>
      </w:pPr>
    </w:p>
    <w:p w:rsidR="00567D31" w:rsidRDefault="00567D31" w:rsidP="00567D31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k </w:t>
      </w:r>
      <w:r w:rsidR="0007796F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 xml:space="preserve">. komunitnímu plánu sociálních služeb Olomoucka </w:t>
      </w:r>
    </w:p>
    <w:tbl>
      <w:tblPr>
        <w:tblpPr w:leftFromText="141" w:rightFromText="141" w:vertAnchor="page" w:horzAnchor="margin" w:tblpY="8088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68"/>
        <w:gridCol w:w="6874"/>
      </w:tblGrid>
      <w:tr w:rsidR="0007796F" w:rsidRPr="0007796F" w:rsidTr="00792172">
        <w:tc>
          <w:tcPr>
            <w:tcW w:w="2268" w:type="dxa"/>
            <w:shd w:val="clear" w:color="auto" w:fill="FBD4B4" w:themeFill="accent6" w:themeFillTint="66"/>
          </w:tcPr>
          <w:p w:rsidR="0007796F" w:rsidRPr="0007796F" w:rsidRDefault="0007796F" w:rsidP="00443A25">
            <w:pPr>
              <w:rPr>
                <w:rFonts w:ascii="Arial" w:hAnsi="Arial" w:cs="Arial"/>
                <w:b/>
              </w:rPr>
            </w:pPr>
            <w:r w:rsidRPr="0007796F">
              <w:rPr>
                <w:rFonts w:ascii="Arial" w:hAnsi="Arial" w:cs="Arial"/>
                <w:b/>
              </w:rPr>
              <w:t>Číslo/kód:</w:t>
            </w:r>
          </w:p>
        </w:tc>
        <w:tc>
          <w:tcPr>
            <w:tcW w:w="6874" w:type="dxa"/>
            <w:shd w:val="clear" w:color="auto" w:fill="FBD4B4" w:themeFill="accent6" w:themeFillTint="66"/>
          </w:tcPr>
          <w:p w:rsidR="0007796F" w:rsidRPr="0007796F" w:rsidRDefault="0007796F" w:rsidP="00443A25">
            <w:pPr>
              <w:ind w:left="290" w:hanging="290"/>
              <w:rPr>
                <w:rFonts w:ascii="Arial" w:hAnsi="Arial" w:cs="Arial"/>
                <w:b/>
              </w:rPr>
            </w:pPr>
            <w:r w:rsidRPr="0007796F">
              <w:rPr>
                <w:rFonts w:ascii="Arial" w:hAnsi="Arial" w:cs="Arial"/>
                <w:b/>
              </w:rPr>
              <w:t>2.1</w:t>
            </w:r>
          </w:p>
        </w:tc>
      </w:tr>
      <w:tr w:rsidR="0007796F" w:rsidRPr="0007796F" w:rsidTr="00443A25">
        <w:tc>
          <w:tcPr>
            <w:tcW w:w="2268" w:type="dxa"/>
          </w:tcPr>
          <w:p w:rsidR="0007796F" w:rsidRPr="0007796F" w:rsidRDefault="0007796F" w:rsidP="00443A25">
            <w:pPr>
              <w:rPr>
                <w:rFonts w:ascii="Arial" w:hAnsi="Arial" w:cs="Arial"/>
                <w:b/>
              </w:rPr>
            </w:pPr>
            <w:r w:rsidRPr="0007796F">
              <w:rPr>
                <w:rFonts w:ascii="Arial" w:hAnsi="Arial" w:cs="Arial"/>
                <w:b/>
              </w:rPr>
              <w:t>Dílčí cíl:</w:t>
            </w:r>
          </w:p>
          <w:p w:rsidR="0007796F" w:rsidRPr="0007796F" w:rsidRDefault="0007796F" w:rsidP="00443A25">
            <w:pPr>
              <w:rPr>
                <w:rFonts w:ascii="Arial" w:hAnsi="Arial" w:cs="Arial"/>
                <w:b/>
              </w:rPr>
            </w:pPr>
          </w:p>
        </w:tc>
        <w:tc>
          <w:tcPr>
            <w:tcW w:w="6874" w:type="dxa"/>
          </w:tcPr>
          <w:p w:rsidR="0007796F" w:rsidRPr="0007796F" w:rsidRDefault="0007796F" w:rsidP="00443A25">
            <w:pPr>
              <w:rPr>
                <w:rFonts w:ascii="Arial" w:hAnsi="Arial" w:cs="Arial"/>
              </w:rPr>
            </w:pPr>
            <w:r w:rsidRPr="0007796F">
              <w:rPr>
                <w:rFonts w:ascii="Arial" w:hAnsi="Arial" w:cs="Arial"/>
                <w:b/>
              </w:rPr>
              <w:t>Zajištění sítě sociálních služeb pro osoby se zdravotním postižením na území města Olomouce a na území ORP Olomouc</w:t>
            </w:r>
          </w:p>
        </w:tc>
      </w:tr>
      <w:tr w:rsidR="0007796F" w:rsidRPr="0007796F" w:rsidTr="00443A25">
        <w:tc>
          <w:tcPr>
            <w:tcW w:w="2268" w:type="dxa"/>
          </w:tcPr>
          <w:p w:rsidR="0007796F" w:rsidRPr="0007796F" w:rsidRDefault="0007796F" w:rsidP="00443A25">
            <w:pPr>
              <w:rPr>
                <w:rFonts w:ascii="Arial" w:hAnsi="Arial" w:cs="Arial"/>
                <w:b/>
              </w:rPr>
            </w:pPr>
            <w:r w:rsidRPr="0007796F">
              <w:rPr>
                <w:rFonts w:ascii="Arial" w:hAnsi="Arial" w:cs="Arial"/>
                <w:b/>
              </w:rPr>
              <w:t>Charakteristika cíle:</w:t>
            </w:r>
          </w:p>
        </w:tc>
        <w:tc>
          <w:tcPr>
            <w:tcW w:w="6874" w:type="dxa"/>
          </w:tcPr>
          <w:p w:rsidR="0007796F" w:rsidRPr="0007796F" w:rsidRDefault="0007796F" w:rsidP="00443A25">
            <w:pPr>
              <w:rPr>
                <w:rFonts w:ascii="Arial" w:hAnsi="Arial" w:cs="Arial"/>
              </w:rPr>
            </w:pPr>
            <w:r w:rsidRPr="0007796F">
              <w:rPr>
                <w:rFonts w:ascii="Arial" w:hAnsi="Arial" w:cs="Arial"/>
              </w:rPr>
              <w:t>Zajištění sítě sociálních služeb formou registrovaných terénních, ambulantních a pobytových sociálních služeb pro osoby se zdravotním postižením na území města Olomouce a na území ORP Olomouc.</w:t>
            </w:r>
          </w:p>
        </w:tc>
      </w:tr>
      <w:tr w:rsidR="0007796F" w:rsidRPr="0007796F" w:rsidTr="00443A25">
        <w:tc>
          <w:tcPr>
            <w:tcW w:w="2268" w:type="dxa"/>
          </w:tcPr>
          <w:p w:rsidR="0007796F" w:rsidRPr="0007796F" w:rsidRDefault="0007796F" w:rsidP="00443A25">
            <w:pPr>
              <w:rPr>
                <w:rFonts w:ascii="Arial" w:hAnsi="Arial" w:cs="Arial"/>
                <w:b/>
              </w:rPr>
            </w:pPr>
            <w:r w:rsidRPr="0007796F">
              <w:rPr>
                <w:rFonts w:ascii="Arial" w:hAnsi="Arial" w:cs="Arial"/>
                <w:b/>
              </w:rPr>
              <w:t>Opatření, která vedou k naplnění cíle:</w:t>
            </w:r>
          </w:p>
          <w:p w:rsidR="0007796F" w:rsidRPr="0007796F" w:rsidRDefault="0007796F" w:rsidP="00443A25">
            <w:pPr>
              <w:rPr>
                <w:rFonts w:ascii="Arial" w:hAnsi="Arial" w:cs="Arial"/>
                <w:b/>
              </w:rPr>
            </w:pPr>
          </w:p>
        </w:tc>
        <w:tc>
          <w:tcPr>
            <w:tcW w:w="6874" w:type="dxa"/>
          </w:tcPr>
          <w:p w:rsidR="0007796F" w:rsidRPr="0007796F" w:rsidRDefault="0007796F" w:rsidP="00443A25">
            <w:pPr>
              <w:rPr>
                <w:rFonts w:ascii="Arial" w:hAnsi="Arial" w:cs="Arial"/>
              </w:rPr>
            </w:pPr>
            <w:r w:rsidRPr="0007796F">
              <w:rPr>
                <w:rFonts w:ascii="Arial" w:hAnsi="Arial" w:cs="Arial"/>
              </w:rPr>
              <w:t>2.1.1 Odborné sociální poradenství</w:t>
            </w:r>
          </w:p>
          <w:p w:rsidR="0007796F" w:rsidRPr="0007796F" w:rsidRDefault="0007796F" w:rsidP="00443A25">
            <w:pPr>
              <w:rPr>
                <w:rFonts w:ascii="Arial" w:hAnsi="Arial" w:cs="Arial"/>
              </w:rPr>
            </w:pPr>
            <w:r w:rsidRPr="0007796F">
              <w:rPr>
                <w:rFonts w:ascii="Arial" w:hAnsi="Arial" w:cs="Arial"/>
              </w:rPr>
              <w:t>2.1.2 Osobní asistence</w:t>
            </w:r>
          </w:p>
          <w:p w:rsidR="0007796F" w:rsidRPr="00443A25" w:rsidRDefault="0007796F" w:rsidP="00443A25">
            <w:pPr>
              <w:rPr>
                <w:rFonts w:ascii="Arial" w:hAnsi="Arial" w:cs="Arial"/>
                <w:color w:val="FF0000"/>
              </w:rPr>
            </w:pPr>
            <w:r w:rsidRPr="00443A25">
              <w:rPr>
                <w:rFonts w:ascii="Arial" w:hAnsi="Arial" w:cs="Arial"/>
                <w:color w:val="FF0000"/>
              </w:rPr>
              <w:t>2.1.3 Podpora samostatného bydlení</w:t>
            </w:r>
          </w:p>
          <w:p w:rsidR="0007796F" w:rsidRPr="0007796F" w:rsidRDefault="0007796F" w:rsidP="00443A25">
            <w:pPr>
              <w:rPr>
                <w:rFonts w:ascii="Arial" w:hAnsi="Arial" w:cs="Arial"/>
              </w:rPr>
            </w:pPr>
            <w:r w:rsidRPr="0007796F">
              <w:rPr>
                <w:rFonts w:ascii="Arial" w:hAnsi="Arial" w:cs="Arial"/>
              </w:rPr>
              <w:t>2.1.4 Denní stacionáře</w:t>
            </w:r>
          </w:p>
          <w:p w:rsidR="0007796F" w:rsidRPr="0007796F" w:rsidRDefault="0007796F" w:rsidP="00443A25">
            <w:pPr>
              <w:rPr>
                <w:rFonts w:ascii="Arial" w:hAnsi="Arial" w:cs="Arial"/>
              </w:rPr>
            </w:pPr>
            <w:r w:rsidRPr="0007796F">
              <w:rPr>
                <w:rFonts w:ascii="Arial" w:hAnsi="Arial" w:cs="Arial"/>
              </w:rPr>
              <w:t>2.1.5 Týdenní stacionáře</w:t>
            </w:r>
          </w:p>
          <w:p w:rsidR="0007796F" w:rsidRPr="0007796F" w:rsidRDefault="0007796F" w:rsidP="00443A25">
            <w:pPr>
              <w:rPr>
                <w:rFonts w:ascii="Arial" w:hAnsi="Arial" w:cs="Arial"/>
              </w:rPr>
            </w:pPr>
            <w:r w:rsidRPr="0007796F">
              <w:rPr>
                <w:rFonts w:ascii="Arial" w:hAnsi="Arial" w:cs="Arial"/>
              </w:rPr>
              <w:t>2.1.6 Domovy pro osoby se zdravotním postižením</w:t>
            </w:r>
          </w:p>
          <w:p w:rsidR="0007796F" w:rsidRPr="0007796F" w:rsidRDefault="0007796F" w:rsidP="00443A25">
            <w:pPr>
              <w:rPr>
                <w:rFonts w:ascii="Arial" w:hAnsi="Arial" w:cs="Arial"/>
              </w:rPr>
            </w:pPr>
            <w:r w:rsidRPr="0007796F">
              <w:rPr>
                <w:rFonts w:ascii="Arial" w:hAnsi="Arial" w:cs="Arial"/>
              </w:rPr>
              <w:t>2.1.7 Chráněné bydlení</w:t>
            </w:r>
          </w:p>
          <w:p w:rsidR="0007796F" w:rsidRPr="0007796F" w:rsidRDefault="0007796F" w:rsidP="00443A25">
            <w:pPr>
              <w:rPr>
                <w:rFonts w:ascii="Arial" w:hAnsi="Arial" w:cs="Arial"/>
              </w:rPr>
            </w:pPr>
            <w:r w:rsidRPr="0007796F">
              <w:rPr>
                <w:rFonts w:ascii="Arial" w:hAnsi="Arial" w:cs="Arial"/>
              </w:rPr>
              <w:t>2.1.8 Raná péče</w:t>
            </w:r>
          </w:p>
          <w:p w:rsidR="0007796F" w:rsidRPr="0007796F" w:rsidRDefault="0007796F" w:rsidP="00443A25">
            <w:pPr>
              <w:rPr>
                <w:rFonts w:ascii="Arial" w:hAnsi="Arial" w:cs="Arial"/>
              </w:rPr>
            </w:pPr>
            <w:r w:rsidRPr="0007796F">
              <w:rPr>
                <w:rFonts w:ascii="Arial" w:hAnsi="Arial" w:cs="Arial"/>
              </w:rPr>
              <w:t>2.1.9 Tlumočnické služby</w:t>
            </w:r>
          </w:p>
          <w:p w:rsidR="0007796F" w:rsidRPr="0007796F" w:rsidRDefault="0007796F" w:rsidP="00443A25">
            <w:pPr>
              <w:rPr>
                <w:rFonts w:ascii="Arial" w:hAnsi="Arial" w:cs="Arial"/>
              </w:rPr>
            </w:pPr>
            <w:proofErr w:type="gramStart"/>
            <w:r w:rsidRPr="0007796F">
              <w:rPr>
                <w:rFonts w:ascii="Arial" w:hAnsi="Arial" w:cs="Arial"/>
              </w:rPr>
              <w:t>2.1.10</w:t>
            </w:r>
            <w:proofErr w:type="gramEnd"/>
            <w:r w:rsidRPr="0007796F">
              <w:rPr>
                <w:rFonts w:ascii="Arial" w:hAnsi="Arial" w:cs="Arial"/>
              </w:rPr>
              <w:t xml:space="preserve"> Sociálně aktivizační služby pro seniory a osoby se zdravotním postižením</w:t>
            </w:r>
          </w:p>
          <w:p w:rsidR="0007796F" w:rsidRPr="0007796F" w:rsidRDefault="0007796F" w:rsidP="00443A25">
            <w:pPr>
              <w:rPr>
                <w:rFonts w:ascii="Arial" w:hAnsi="Arial" w:cs="Arial"/>
              </w:rPr>
            </w:pPr>
            <w:r w:rsidRPr="0007796F">
              <w:rPr>
                <w:rFonts w:ascii="Arial" w:hAnsi="Arial" w:cs="Arial"/>
              </w:rPr>
              <w:t>2.1.11 Sociálně terapeutické dílny</w:t>
            </w:r>
          </w:p>
          <w:p w:rsidR="0007796F" w:rsidRPr="00443A25" w:rsidRDefault="0007796F" w:rsidP="00443A25">
            <w:pPr>
              <w:rPr>
                <w:rFonts w:ascii="Arial" w:hAnsi="Arial" w:cs="Arial"/>
                <w:color w:val="FF0000"/>
              </w:rPr>
            </w:pPr>
            <w:r w:rsidRPr="00443A25">
              <w:rPr>
                <w:rFonts w:ascii="Arial" w:hAnsi="Arial" w:cs="Arial"/>
                <w:color w:val="FF0000"/>
              </w:rPr>
              <w:t>2.1.12 Sociální rehabilitace</w:t>
            </w:r>
          </w:p>
          <w:p w:rsidR="0007796F" w:rsidRPr="0007796F" w:rsidRDefault="0007796F" w:rsidP="00443A25">
            <w:pPr>
              <w:rPr>
                <w:rFonts w:ascii="Arial" w:hAnsi="Arial" w:cs="Arial"/>
              </w:rPr>
            </w:pPr>
            <w:r w:rsidRPr="0007796F">
              <w:rPr>
                <w:rFonts w:ascii="Arial" w:hAnsi="Arial" w:cs="Arial"/>
              </w:rPr>
              <w:t>2.1.13 Odlehčovací služba</w:t>
            </w:r>
          </w:p>
        </w:tc>
      </w:tr>
    </w:tbl>
    <w:p w:rsidR="00567D31" w:rsidRDefault="00567D31" w:rsidP="00567D31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na období let 202</w:t>
      </w:r>
      <w:r w:rsidR="0007796F">
        <w:rPr>
          <w:rFonts w:ascii="Arial" w:hAnsi="Arial"/>
          <w:b/>
          <w:sz w:val="24"/>
        </w:rPr>
        <w:t>3</w:t>
      </w:r>
      <w:r>
        <w:rPr>
          <w:rFonts w:ascii="Arial" w:hAnsi="Arial"/>
          <w:b/>
          <w:sz w:val="24"/>
        </w:rPr>
        <w:t xml:space="preserve"> – 202</w:t>
      </w:r>
      <w:r w:rsidR="0007796F">
        <w:rPr>
          <w:rFonts w:ascii="Arial" w:hAnsi="Arial"/>
          <w:b/>
          <w:sz w:val="24"/>
        </w:rPr>
        <w:t>5</w:t>
      </w:r>
    </w:p>
    <w:p w:rsidR="00567D31" w:rsidRDefault="00567D31" w:rsidP="00567D31">
      <w:pPr>
        <w:rPr>
          <w:rFonts w:ascii="Arial" w:hAnsi="Arial"/>
          <w:b/>
          <w:sz w:val="24"/>
        </w:rPr>
      </w:pPr>
    </w:p>
    <w:p w:rsidR="00567D31" w:rsidRDefault="00567D31" w:rsidP="00567D31">
      <w:pPr>
        <w:jc w:val="both"/>
        <w:rPr>
          <w:rFonts w:ascii="Arial" w:hAnsi="Arial" w:cs="Arial"/>
          <w:sz w:val="24"/>
          <w:szCs w:val="24"/>
        </w:rPr>
      </w:pPr>
      <w:r w:rsidRPr="0012558C">
        <w:rPr>
          <w:rFonts w:ascii="Arial" w:hAnsi="Arial"/>
          <w:sz w:val="24"/>
        </w:rPr>
        <w:t xml:space="preserve">Rada </w:t>
      </w:r>
      <w:r>
        <w:rPr>
          <w:rFonts w:ascii="Arial" w:hAnsi="Arial"/>
          <w:sz w:val="24"/>
        </w:rPr>
        <w:t xml:space="preserve">města Olomouce na svém jednání dne </w:t>
      </w:r>
      <w:r w:rsidR="0007796F">
        <w:rPr>
          <w:rFonts w:ascii="Arial" w:hAnsi="Arial"/>
          <w:sz w:val="24"/>
        </w:rPr>
        <w:t>5. 12. 2023</w:t>
      </w:r>
      <w:r>
        <w:rPr>
          <w:rFonts w:ascii="Arial" w:hAnsi="Arial"/>
          <w:sz w:val="24"/>
        </w:rPr>
        <w:t xml:space="preserve"> schválila Návrh na změnu v aktuálním komunitním plánu sociálních služeb (dále jen Návrh) předložený organizací </w:t>
      </w:r>
      <w:r w:rsidR="00443A25" w:rsidRPr="00443A25">
        <w:rPr>
          <w:rFonts w:ascii="Arial" w:hAnsi="Arial" w:cs="Arial"/>
          <w:b/>
          <w:sz w:val="24"/>
          <w:szCs w:val="24"/>
        </w:rPr>
        <w:t>Charita Olomouc</w:t>
      </w:r>
      <w:r>
        <w:rPr>
          <w:rFonts w:ascii="Arial" w:hAnsi="Arial"/>
          <w:sz w:val="24"/>
        </w:rPr>
        <w:t xml:space="preserve">. Dle schválených </w:t>
      </w:r>
      <w:r>
        <w:rPr>
          <w:rFonts w:ascii="Arial" w:hAnsi="Arial" w:cs="Arial"/>
          <w:sz w:val="24"/>
          <w:szCs w:val="24"/>
        </w:rPr>
        <w:t xml:space="preserve">Pravidel pro přijímání změn v aktuálním komunitním plánu se přijatým Návrhem zabývala příslušná pracovní skupina komunitního plánování, tj. </w:t>
      </w:r>
      <w:r w:rsidR="0007796F">
        <w:rPr>
          <w:rFonts w:ascii="Arial" w:hAnsi="Arial" w:cs="Arial"/>
          <w:sz w:val="24"/>
          <w:szCs w:val="24"/>
        </w:rPr>
        <w:t>Občané se zdravotním postižením</w:t>
      </w:r>
      <w:r>
        <w:rPr>
          <w:rFonts w:ascii="Arial" w:hAnsi="Arial" w:cs="Arial"/>
          <w:sz w:val="24"/>
          <w:szCs w:val="24"/>
        </w:rPr>
        <w:t xml:space="preserve">, následně Realizačně manažerský tým komunitního plánování. Dne </w:t>
      </w:r>
      <w:r w:rsidR="0007796F">
        <w:rPr>
          <w:rFonts w:ascii="Arial" w:hAnsi="Arial" w:cs="Arial"/>
          <w:sz w:val="24"/>
          <w:szCs w:val="24"/>
        </w:rPr>
        <w:t>31. 10. 2023</w:t>
      </w:r>
      <w:r>
        <w:rPr>
          <w:rFonts w:ascii="Arial" w:hAnsi="Arial" w:cs="Arial"/>
          <w:sz w:val="24"/>
          <w:szCs w:val="24"/>
        </w:rPr>
        <w:t xml:space="preserve"> byl výše uvedený návrh předložen k projednání Sociální komisi RMO, která přijatý návrh doporučila Radě města Olomouce schválit.</w:t>
      </w:r>
      <w:r w:rsidRPr="00D96963">
        <w:rPr>
          <w:rFonts w:ascii="Arial" w:hAnsi="Arial" w:cs="Arial"/>
          <w:sz w:val="24"/>
          <w:szCs w:val="24"/>
        </w:rPr>
        <w:t xml:space="preserve">   </w:t>
      </w:r>
    </w:p>
    <w:p w:rsidR="00567D31" w:rsidRDefault="00567D31" w:rsidP="00567D31">
      <w:pPr>
        <w:jc w:val="both"/>
        <w:rPr>
          <w:rFonts w:ascii="Arial" w:hAnsi="Arial" w:cs="Arial"/>
          <w:sz w:val="24"/>
          <w:szCs w:val="24"/>
        </w:rPr>
      </w:pPr>
    </w:p>
    <w:p w:rsidR="00567D31" w:rsidRDefault="00567D31" w:rsidP="00567D31">
      <w:pPr>
        <w:jc w:val="both"/>
        <w:rPr>
          <w:rFonts w:ascii="Arial" w:hAnsi="Arial" w:cs="Arial"/>
          <w:sz w:val="24"/>
          <w:szCs w:val="24"/>
        </w:rPr>
      </w:pPr>
      <w:r w:rsidRPr="00C12B82">
        <w:rPr>
          <w:rFonts w:ascii="Arial" w:hAnsi="Arial" w:cs="Arial"/>
          <w:sz w:val="24"/>
          <w:szCs w:val="24"/>
        </w:rPr>
        <w:t>Na základě návrhu do</w:t>
      </w:r>
      <w:r>
        <w:rPr>
          <w:rFonts w:ascii="Arial" w:hAnsi="Arial" w:cs="Arial"/>
          <w:sz w:val="24"/>
          <w:szCs w:val="24"/>
        </w:rPr>
        <w:t>chází</w:t>
      </w:r>
      <w:r w:rsidRPr="00C12B82">
        <w:rPr>
          <w:rFonts w:ascii="Arial" w:hAnsi="Arial" w:cs="Arial"/>
          <w:sz w:val="24"/>
          <w:szCs w:val="24"/>
        </w:rPr>
        <w:t xml:space="preserve"> k </w:t>
      </w:r>
      <w:r w:rsidRPr="00C12B82">
        <w:rPr>
          <w:rFonts w:ascii="Arial" w:hAnsi="Arial" w:cs="Arial"/>
          <w:b/>
          <w:sz w:val="24"/>
          <w:szCs w:val="24"/>
        </w:rPr>
        <w:t xml:space="preserve">doplnění </w:t>
      </w:r>
      <w:r w:rsidR="0007796F" w:rsidRPr="0007796F">
        <w:rPr>
          <w:rFonts w:ascii="Arial" w:hAnsi="Arial" w:cs="Arial"/>
          <w:sz w:val="24"/>
          <w:szCs w:val="24"/>
        </w:rPr>
        <w:t xml:space="preserve">organizace jako dalšího předpokládaného realizátora opatření, a to u Cíle 2.1 Zajištění sítě sociálních služeb pro osoby se zdravotním postižením na území města Olomouce a na území ORP Olomouc, </w:t>
      </w:r>
      <w:r w:rsidR="00443A25">
        <w:rPr>
          <w:rFonts w:ascii="Arial" w:hAnsi="Arial" w:cs="Arial"/>
          <w:sz w:val="24"/>
          <w:szCs w:val="24"/>
        </w:rPr>
        <w:t xml:space="preserve"> </w:t>
      </w:r>
      <w:r w:rsidR="00443A25" w:rsidRPr="00443A25">
        <w:rPr>
          <w:rFonts w:ascii="Arial" w:hAnsi="Arial" w:cs="Arial"/>
          <w:color w:val="FF0000"/>
          <w:sz w:val="24"/>
          <w:szCs w:val="24"/>
        </w:rPr>
        <w:t>Opatření 2.1.12 Sociální rehabilitace</w:t>
      </w:r>
      <w:r w:rsidR="00443A25" w:rsidRPr="00443A25">
        <w:rPr>
          <w:rFonts w:ascii="Arial" w:hAnsi="Arial" w:cs="Arial"/>
          <w:sz w:val="24"/>
          <w:szCs w:val="24"/>
        </w:rPr>
        <w:t>. Na základě zjištěné pot</w:t>
      </w:r>
      <w:bookmarkStart w:id="0" w:name="_GoBack"/>
      <w:bookmarkEnd w:id="0"/>
      <w:r w:rsidR="00443A25" w:rsidRPr="00443A25">
        <w:rPr>
          <w:rFonts w:ascii="Arial" w:hAnsi="Arial" w:cs="Arial"/>
          <w:sz w:val="24"/>
          <w:szCs w:val="24"/>
        </w:rPr>
        <w:t xml:space="preserve">řebnosti dojde u organizace Charita Olomouc k transformaci sociální služby Podpora samostatného bydlení do služby Sociální rehabilitace. To bude mít vliv i na změnu v </w:t>
      </w:r>
      <w:r w:rsidR="00443A25" w:rsidRPr="00443A25">
        <w:rPr>
          <w:rFonts w:ascii="Arial" w:hAnsi="Arial" w:cs="Arial"/>
          <w:color w:val="FF0000"/>
          <w:sz w:val="24"/>
          <w:szCs w:val="24"/>
        </w:rPr>
        <w:t>Opatření 2.1.3 Podpora samostatného bydlení</w:t>
      </w:r>
      <w:r w:rsidR="00443A25" w:rsidRPr="00443A25">
        <w:rPr>
          <w:rFonts w:ascii="Arial" w:hAnsi="Arial" w:cs="Arial"/>
          <w:sz w:val="24"/>
          <w:szCs w:val="24"/>
        </w:rPr>
        <w:t>, kdy od roku 20</w:t>
      </w:r>
      <w:r w:rsidR="005575D6">
        <w:rPr>
          <w:rFonts w:ascii="Arial" w:hAnsi="Arial" w:cs="Arial"/>
          <w:sz w:val="24"/>
          <w:szCs w:val="24"/>
        </w:rPr>
        <w:t>2</w:t>
      </w:r>
      <w:r w:rsidR="00443A25" w:rsidRPr="00443A25">
        <w:rPr>
          <w:rFonts w:ascii="Arial" w:hAnsi="Arial" w:cs="Arial"/>
          <w:sz w:val="24"/>
          <w:szCs w:val="24"/>
        </w:rPr>
        <w:t>4 zde již nebude figurovat Charita Olomouc jako realizátor opatření.</w:t>
      </w:r>
      <w:r w:rsidR="0007796F" w:rsidRPr="00443A25">
        <w:rPr>
          <w:rFonts w:ascii="Arial" w:hAnsi="Arial" w:cs="Arial"/>
          <w:sz w:val="24"/>
          <w:szCs w:val="24"/>
        </w:rPr>
        <w:t xml:space="preserve"> Změny jsou vyznačeny </w:t>
      </w:r>
      <w:r w:rsidR="00791031" w:rsidRPr="00443A25">
        <w:rPr>
          <w:rFonts w:ascii="Arial" w:hAnsi="Arial" w:cs="Arial"/>
          <w:sz w:val="24"/>
          <w:szCs w:val="24"/>
        </w:rPr>
        <w:t>červeně</w:t>
      </w:r>
      <w:r w:rsidR="0007796F">
        <w:rPr>
          <w:rFonts w:ascii="Arial" w:hAnsi="Arial" w:cs="Arial"/>
          <w:sz w:val="24"/>
          <w:szCs w:val="24"/>
        </w:rPr>
        <w:t>.</w:t>
      </w:r>
    </w:p>
    <w:p w:rsidR="002E278D" w:rsidRDefault="002E278D"/>
    <w:p w:rsidR="0007796F" w:rsidRPr="003F5D7F" w:rsidRDefault="0007796F" w:rsidP="0007796F">
      <w:pPr>
        <w:rPr>
          <w:lang w:eastAsia="cs-CZ"/>
        </w:rPr>
      </w:pPr>
    </w:p>
    <w:p w:rsidR="0007796F" w:rsidRPr="003F5D7F" w:rsidRDefault="0007796F" w:rsidP="0007796F"/>
    <w:p w:rsidR="0007796F" w:rsidRDefault="0007796F" w:rsidP="0007796F"/>
    <w:p w:rsidR="00567D31" w:rsidRDefault="00567D31"/>
    <w:p w:rsidR="00567D31" w:rsidRDefault="00567D31"/>
    <w:tbl>
      <w:tblPr>
        <w:tblW w:w="9169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3"/>
        <w:gridCol w:w="2137"/>
        <w:gridCol w:w="6669"/>
      </w:tblGrid>
      <w:tr w:rsidR="00443A25" w:rsidRPr="00443A25" w:rsidTr="00C103C1">
        <w:trPr>
          <w:cantSplit/>
        </w:trPr>
        <w:tc>
          <w:tcPr>
            <w:tcW w:w="343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43A25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137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rPr>
                <w:rFonts w:ascii="Arial" w:hAnsi="Arial" w:cs="Arial"/>
                <w:b/>
              </w:rPr>
            </w:pPr>
            <w:r w:rsidRPr="00443A25">
              <w:rPr>
                <w:rFonts w:ascii="Arial" w:hAnsi="Arial" w:cs="Arial"/>
                <w:b/>
              </w:rPr>
              <w:t>Kód opatření: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443A25" w:rsidRPr="00443A25" w:rsidRDefault="00443A25" w:rsidP="00C103C1">
            <w:pPr>
              <w:rPr>
                <w:rFonts w:ascii="Arial" w:hAnsi="Arial" w:cs="Arial"/>
                <w:b/>
              </w:rPr>
            </w:pPr>
            <w:r w:rsidRPr="00443A25">
              <w:rPr>
                <w:rFonts w:ascii="Arial" w:hAnsi="Arial" w:cs="Arial"/>
                <w:b/>
              </w:rPr>
              <w:t>2.1.3</w:t>
            </w:r>
          </w:p>
        </w:tc>
      </w:tr>
      <w:tr w:rsidR="00443A25" w:rsidRPr="00443A25" w:rsidTr="00C103C1">
        <w:trPr>
          <w:cantSplit/>
        </w:trPr>
        <w:tc>
          <w:tcPr>
            <w:tcW w:w="343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43A25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137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rPr>
                <w:rFonts w:ascii="Arial" w:hAnsi="Arial" w:cs="Arial"/>
                <w:b/>
              </w:rPr>
            </w:pPr>
            <w:r w:rsidRPr="00443A25">
              <w:rPr>
                <w:rFonts w:ascii="Arial" w:hAnsi="Arial" w:cs="Arial"/>
                <w:b/>
              </w:rPr>
              <w:t>Název opatření: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443A25" w:rsidRPr="00443A25" w:rsidRDefault="00443A25" w:rsidP="00C103C1">
            <w:pPr>
              <w:rPr>
                <w:rFonts w:ascii="Arial" w:hAnsi="Arial" w:cs="Arial"/>
                <w:b/>
                <w:highlight w:val="yellow"/>
              </w:rPr>
            </w:pPr>
            <w:r w:rsidRPr="00443A25">
              <w:rPr>
                <w:rFonts w:ascii="Arial" w:hAnsi="Arial" w:cs="Arial"/>
                <w:b/>
                <w:highlight w:val="yellow"/>
              </w:rPr>
              <w:t>Podpora samostatného bydlení</w:t>
            </w:r>
          </w:p>
        </w:tc>
      </w:tr>
      <w:tr w:rsidR="00443A25" w:rsidRPr="00443A25" w:rsidTr="00C103C1">
        <w:trPr>
          <w:cantSplit/>
        </w:trPr>
        <w:tc>
          <w:tcPr>
            <w:tcW w:w="343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43A25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137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rPr>
                <w:rFonts w:ascii="Arial" w:hAnsi="Arial" w:cs="Arial"/>
                <w:b/>
              </w:rPr>
            </w:pPr>
            <w:r w:rsidRPr="00443A25">
              <w:rPr>
                <w:rFonts w:ascii="Arial" w:hAnsi="Arial" w:cs="Arial"/>
                <w:b/>
              </w:rPr>
              <w:t xml:space="preserve">Charakteristika opatření: </w:t>
            </w:r>
          </w:p>
        </w:tc>
        <w:tc>
          <w:tcPr>
            <w:tcW w:w="0" w:type="auto"/>
          </w:tcPr>
          <w:p w:rsidR="00443A25" w:rsidRPr="00443A25" w:rsidRDefault="00443A25" w:rsidP="00C103C1">
            <w:pPr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Opatření směřuje k zajištění služeb podpory samostatného bydlení pro osoby s mentálním postižením a duševním onemocněním.</w:t>
            </w:r>
          </w:p>
        </w:tc>
      </w:tr>
      <w:tr w:rsidR="00443A25" w:rsidRPr="00443A25" w:rsidTr="00C103C1">
        <w:trPr>
          <w:cantSplit/>
          <w:trHeight w:val="116"/>
        </w:trPr>
        <w:tc>
          <w:tcPr>
            <w:tcW w:w="343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37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rPr>
                <w:rFonts w:ascii="Arial" w:hAnsi="Arial" w:cs="Arial"/>
                <w:b/>
              </w:rPr>
            </w:pPr>
            <w:r w:rsidRPr="00443A25">
              <w:rPr>
                <w:rFonts w:ascii="Arial" w:hAnsi="Arial" w:cs="Arial"/>
                <w:b/>
              </w:rPr>
              <w:t>Cílová skupina</w:t>
            </w:r>
          </w:p>
        </w:tc>
        <w:tc>
          <w:tcPr>
            <w:tcW w:w="0" w:type="auto"/>
          </w:tcPr>
          <w:p w:rsidR="00443A25" w:rsidRPr="00443A25" w:rsidRDefault="00443A25" w:rsidP="00C103C1">
            <w:pPr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15 osoby s mentálním postižením, 11 osoby s chronickým duševním onemocněním</w:t>
            </w:r>
          </w:p>
        </w:tc>
      </w:tr>
      <w:tr w:rsidR="00443A25" w:rsidRPr="00443A25" w:rsidTr="00C103C1">
        <w:trPr>
          <w:cantSplit/>
          <w:trHeight w:val="116"/>
        </w:trPr>
        <w:tc>
          <w:tcPr>
            <w:tcW w:w="343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37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rPr>
                <w:rFonts w:ascii="Arial" w:hAnsi="Arial" w:cs="Arial"/>
                <w:b/>
              </w:rPr>
            </w:pPr>
            <w:r w:rsidRPr="00443A25">
              <w:rPr>
                <w:rFonts w:ascii="Arial" w:hAnsi="Arial" w:cs="Arial"/>
                <w:b/>
              </w:rPr>
              <w:t>Druh služby</w:t>
            </w:r>
          </w:p>
        </w:tc>
        <w:tc>
          <w:tcPr>
            <w:tcW w:w="0" w:type="auto"/>
          </w:tcPr>
          <w:p w:rsidR="00443A25" w:rsidRPr="00443A25" w:rsidRDefault="00443A25" w:rsidP="00C103C1">
            <w:pPr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18 Podpora samostatného bydlení (§ 43)</w:t>
            </w:r>
          </w:p>
        </w:tc>
      </w:tr>
      <w:tr w:rsidR="00443A25" w:rsidRPr="00443A25" w:rsidTr="00C103C1">
        <w:trPr>
          <w:cantSplit/>
          <w:trHeight w:val="116"/>
        </w:trPr>
        <w:tc>
          <w:tcPr>
            <w:tcW w:w="343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37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rPr>
                <w:rFonts w:ascii="Arial" w:hAnsi="Arial" w:cs="Arial"/>
                <w:b/>
              </w:rPr>
            </w:pPr>
            <w:r w:rsidRPr="00443A25">
              <w:rPr>
                <w:rFonts w:ascii="Arial" w:hAnsi="Arial" w:cs="Arial"/>
                <w:b/>
              </w:rPr>
              <w:t>Forma služby</w:t>
            </w:r>
          </w:p>
        </w:tc>
        <w:tc>
          <w:tcPr>
            <w:tcW w:w="0" w:type="auto"/>
          </w:tcPr>
          <w:p w:rsidR="00443A25" w:rsidRPr="00443A25" w:rsidRDefault="00443A25" w:rsidP="00C103C1">
            <w:pPr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1 terénní</w:t>
            </w:r>
          </w:p>
        </w:tc>
      </w:tr>
      <w:tr w:rsidR="00443A25" w:rsidRPr="00443A25" w:rsidTr="00C103C1">
        <w:trPr>
          <w:cantSplit/>
          <w:trHeight w:val="116"/>
        </w:trPr>
        <w:tc>
          <w:tcPr>
            <w:tcW w:w="343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43A25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2137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rPr>
                <w:rFonts w:ascii="Arial" w:hAnsi="Arial" w:cs="Arial"/>
                <w:b/>
              </w:rPr>
            </w:pPr>
            <w:r w:rsidRPr="00443A25">
              <w:rPr>
                <w:rFonts w:ascii="Arial" w:hAnsi="Arial" w:cs="Arial"/>
                <w:b/>
              </w:rPr>
              <w:t>Vymezení územního dopadu opatření:</w:t>
            </w:r>
          </w:p>
        </w:tc>
        <w:tc>
          <w:tcPr>
            <w:tcW w:w="0" w:type="auto"/>
          </w:tcPr>
          <w:p w:rsidR="00443A25" w:rsidRPr="00443A25" w:rsidRDefault="00443A25" w:rsidP="00C103C1">
            <w:pPr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území města Olomouce</w:t>
            </w:r>
          </w:p>
        </w:tc>
      </w:tr>
      <w:tr w:rsidR="00443A25" w:rsidRPr="00443A25" w:rsidTr="00C103C1">
        <w:trPr>
          <w:cantSplit/>
        </w:trPr>
        <w:tc>
          <w:tcPr>
            <w:tcW w:w="343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43A25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2137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rPr>
                <w:rFonts w:ascii="Arial" w:hAnsi="Arial" w:cs="Arial"/>
                <w:b/>
              </w:rPr>
            </w:pPr>
            <w:r w:rsidRPr="00443A25">
              <w:rPr>
                <w:rFonts w:ascii="Arial" w:hAnsi="Arial" w:cs="Arial"/>
                <w:b/>
              </w:rPr>
              <w:t>Předpokládané dopady opatření:</w:t>
            </w:r>
          </w:p>
        </w:tc>
        <w:tc>
          <w:tcPr>
            <w:tcW w:w="0" w:type="auto"/>
          </w:tcPr>
          <w:p w:rsidR="00443A25" w:rsidRPr="00443A25" w:rsidRDefault="00443A25" w:rsidP="00443A25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dosažení co nejvyšší míry soběstačnosti uživatele a jeho nezávislosti na službě</w:t>
            </w:r>
          </w:p>
          <w:p w:rsidR="00443A25" w:rsidRPr="00443A25" w:rsidRDefault="00443A25" w:rsidP="00443A25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rozvoj a udržení schopností, dovedností a znalostí uživatele s přihlédnutím k jeho možnostem, schopnostem, daným druhem a stupněm jeho postižení, věkovým a osobnostním specifikům</w:t>
            </w:r>
          </w:p>
          <w:p w:rsidR="00443A25" w:rsidRPr="00443A25" w:rsidRDefault="00443A25" w:rsidP="00443A25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zachování či rozvoj přirozené vztahové sítě uživatele</w:t>
            </w:r>
          </w:p>
          <w:p w:rsidR="00443A25" w:rsidRPr="00443A25" w:rsidRDefault="00443A25" w:rsidP="00443A25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možnost samostatného bydlení i v přirozeném prostředí uživatele s důrazem na osvojení si sociálních dovedností a návyků spojených se zajištěním samostatného chodu domácnosti</w:t>
            </w:r>
          </w:p>
        </w:tc>
      </w:tr>
      <w:tr w:rsidR="00443A25" w:rsidRPr="00443A25" w:rsidTr="00C103C1">
        <w:trPr>
          <w:cantSplit/>
        </w:trPr>
        <w:tc>
          <w:tcPr>
            <w:tcW w:w="343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43A25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2137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rPr>
                <w:rFonts w:ascii="Arial" w:hAnsi="Arial" w:cs="Arial"/>
                <w:b/>
              </w:rPr>
            </w:pPr>
            <w:r w:rsidRPr="00443A25">
              <w:rPr>
                <w:rFonts w:ascii="Arial" w:hAnsi="Arial" w:cs="Arial"/>
                <w:b/>
              </w:rPr>
              <w:t>Rizika a ohrožení naplnění opatření:</w:t>
            </w:r>
          </w:p>
        </w:tc>
        <w:tc>
          <w:tcPr>
            <w:tcW w:w="0" w:type="auto"/>
          </w:tcPr>
          <w:p w:rsidR="00443A25" w:rsidRPr="00443A25" w:rsidRDefault="00443A25" w:rsidP="00443A25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snížení zájmu o poskytování služby</w:t>
            </w:r>
          </w:p>
          <w:p w:rsidR="00443A25" w:rsidRPr="00443A25" w:rsidRDefault="00443A25" w:rsidP="00443A25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nenaplnění její kapacity</w:t>
            </w:r>
          </w:p>
          <w:p w:rsidR="00443A25" w:rsidRPr="00443A25" w:rsidRDefault="00443A25" w:rsidP="00443A25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nedostatek pracovníků v přímé péči</w:t>
            </w:r>
          </w:p>
          <w:p w:rsidR="00443A25" w:rsidRPr="00443A25" w:rsidRDefault="00443A25" w:rsidP="00443A25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nedostatečná informovanost odborné i laické veřejnosti o službě</w:t>
            </w:r>
          </w:p>
          <w:p w:rsidR="00443A25" w:rsidRPr="00443A25" w:rsidRDefault="00443A25" w:rsidP="00443A25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finanční nedostupnost samostatného bydlení v běžné zástavbě</w:t>
            </w:r>
          </w:p>
        </w:tc>
      </w:tr>
      <w:tr w:rsidR="00443A25" w:rsidRPr="00443A25" w:rsidTr="00C103C1">
        <w:trPr>
          <w:cantSplit/>
        </w:trPr>
        <w:tc>
          <w:tcPr>
            <w:tcW w:w="343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43A25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2137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rPr>
                <w:rFonts w:ascii="Arial" w:hAnsi="Arial" w:cs="Arial"/>
                <w:b/>
              </w:rPr>
            </w:pPr>
            <w:r w:rsidRPr="00443A25">
              <w:rPr>
                <w:rFonts w:ascii="Arial" w:hAnsi="Arial" w:cs="Arial"/>
                <w:b/>
              </w:rPr>
              <w:t>Aktivity vedoucí k naplnění opatření:</w:t>
            </w:r>
          </w:p>
        </w:tc>
        <w:tc>
          <w:tcPr>
            <w:tcW w:w="0" w:type="auto"/>
          </w:tcPr>
          <w:p w:rsidR="00443A25" w:rsidRPr="00443A25" w:rsidRDefault="00443A25" w:rsidP="00443A25">
            <w:pPr>
              <w:numPr>
                <w:ilvl w:val="0"/>
                <w:numId w:val="14"/>
              </w:numPr>
              <w:suppressAutoHyphens w:val="0"/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poskytování sociální služby podpory samostatného bydlení</w:t>
            </w:r>
          </w:p>
          <w:p w:rsidR="00443A25" w:rsidRPr="00443A25" w:rsidRDefault="00443A25" w:rsidP="00443A25">
            <w:pPr>
              <w:numPr>
                <w:ilvl w:val="0"/>
                <w:numId w:val="14"/>
              </w:numPr>
              <w:suppressAutoHyphens w:val="0"/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zajištění finančních prostředků na provoz služby ve stávajícím rozsahu a kvalitě</w:t>
            </w:r>
          </w:p>
          <w:p w:rsidR="00443A25" w:rsidRPr="00443A25" w:rsidRDefault="00443A25" w:rsidP="00443A25">
            <w:pPr>
              <w:numPr>
                <w:ilvl w:val="0"/>
                <w:numId w:val="14"/>
              </w:numPr>
              <w:suppressAutoHyphens w:val="0"/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průběžné hodnocení kvality a efektivity služby</w:t>
            </w:r>
          </w:p>
          <w:p w:rsidR="00443A25" w:rsidRPr="00443A25" w:rsidRDefault="00443A25" w:rsidP="00443A25">
            <w:pPr>
              <w:numPr>
                <w:ilvl w:val="0"/>
                <w:numId w:val="14"/>
              </w:numPr>
              <w:suppressAutoHyphens w:val="0"/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spolupráce se </w:t>
            </w:r>
            <w:proofErr w:type="spellStart"/>
            <w:r w:rsidRPr="00443A25">
              <w:rPr>
                <w:rFonts w:ascii="Arial" w:hAnsi="Arial" w:cs="Arial"/>
              </w:rPr>
              <w:t>SMOl</w:t>
            </w:r>
            <w:proofErr w:type="spellEnd"/>
            <w:r w:rsidRPr="00443A25">
              <w:rPr>
                <w:rFonts w:ascii="Arial" w:hAnsi="Arial" w:cs="Arial"/>
              </w:rPr>
              <w:t xml:space="preserve"> při zajištění finančně dostupného vhodného bydlení</w:t>
            </w:r>
          </w:p>
          <w:p w:rsidR="00443A25" w:rsidRPr="00443A25" w:rsidRDefault="00443A25" w:rsidP="00443A25">
            <w:pPr>
              <w:numPr>
                <w:ilvl w:val="0"/>
                <w:numId w:val="14"/>
              </w:numPr>
              <w:suppressAutoHyphens w:val="0"/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nabídka volné kapacity služby formou informační kampaně směrem k praktickým lékařům, poskytovatelům sociálních služeb a dalším organizacím, úřadům</w:t>
            </w:r>
          </w:p>
        </w:tc>
      </w:tr>
      <w:tr w:rsidR="00443A25" w:rsidRPr="00443A25" w:rsidTr="00C103C1">
        <w:trPr>
          <w:cantSplit/>
        </w:trPr>
        <w:tc>
          <w:tcPr>
            <w:tcW w:w="343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43A25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2137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rPr>
                <w:rFonts w:ascii="Arial" w:hAnsi="Arial" w:cs="Arial"/>
                <w:b/>
              </w:rPr>
            </w:pPr>
            <w:r w:rsidRPr="00443A25">
              <w:rPr>
                <w:rFonts w:ascii="Arial" w:hAnsi="Arial" w:cs="Arial"/>
                <w:b/>
              </w:rPr>
              <w:t>Časový harmonogram plnění opatření:</w:t>
            </w:r>
          </w:p>
        </w:tc>
        <w:tc>
          <w:tcPr>
            <w:tcW w:w="0" w:type="auto"/>
          </w:tcPr>
          <w:p w:rsidR="00443A25" w:rsidRPr="00443A25" w:rsidRDefault="00443A25" w:rsidP="00C103C1">
            <w:pPr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 xml:space="preserve">2023 – 2025 </w:t>
            </w:r>
          </w:p>
          <w:p w:rsidR="00443A25" w:rsidRPr="00443A25" w:rsidRDefault="00443A25" w:rsidP="00443A25">
            <w:pPr>
              <w:pStyle w:val="Odstavecseseznamem"/>
              <w:numPr>
                <w:ilvl w:val="0"/>
                <w:numId w:val="16"/>
              </w:numPr>
              <w:suppressAutoHyphens w:val="0"/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Klíč – centrum sociálních služeb, p. o.</w:t>
            </w:r>
          </w:p>
          <w:p w:rsidR="00443A25" w:rsidRPr="00443A25" w:rsidRDefault="00443A25" w:rsidP="00C103C1">
            <w:pPr>
              <w:rPr>
                <w:rFonts w:ascii="Arial" w:hAnsi="Arial" w:cs="Arial"/>
                <w:color w:val="FF0000"/>
              </w:rPr>
            </w:pPr>
            <w:r w:rsidRPr="00443A25">
              <w:rPr>
                <w:rFonts w:ascii="Arial" w:hAnsi="Arial" w:cs="Arial"/>
                <w:color w:val="FF0000"/>
              </w:rPr>
              <w:t xml:space="preserve">2023 </w:t>
            </w:r>
          </w:p>
          <w:p w:rsidR="00443A25" w:rsidRPr="00443A25" w:rsidRDefault="00443A25" w:rsidP="00443A25">
            <w:pPr>
              <w:pStyle w:val="Odstavecseseznamem"/>
              <w:numPr>
                <w:ilvl w:val="0"/>
                <w:numId w:val="16"/>
              </w:numPr>
              <w:suppressAutoHyphens w:val="0"/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  <w:color w:val="FF0000"/>
              </w:rPr>
              <w:t>Charita Olomouce</w:t>
            </w:r>
          </w:p>
        </w:tc>
      </w:tr>
      <w:tr w:rsidR="00443A25" w:rsidRPr="00443A25" w:rsidTr="00C103C1">
        <w:trPr>
          <w:cantSplit/>
        </w:trPr>
        <w:tc>
          <w:tcPr>
            <w:tcW w:w="343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43A25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2137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rPr>
                <w:rFonts w:ascii="Arial" w:hAnsi="Arial" w:cs="Arial"/>
                <w:b/>
              </w:rPr>
            </w:pPr>
            <w:r w:rsidRPr="00443A25">
              <w:rPr>
                <w:rFonts w:ascii="Arial" w:hAnsi="Arial" w:cs="Arial"/>
                <w:b/>
              </w:rPr>
              <w:t>Předpokládaná výše finančních nákladů na realizaci opatření:</w:t>
            </w:r>
          </w:p>
        </w:tc>
        <w:tc>
          <w:tcPr>
            <w:tcW w:w="0" w:type="auto"/>
          </w:tcPr>
          <w:p w:rsidR="00443A25" w:rsidRPr="00443A25" w:rsidRDefault="00443A25" w:rsidP="00C103C1">
            <w:pPr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Charita Olomouc: 1 940 000 Kč/rok</w:t>
            </w:r>
          </w:p>
          <w:p w:rsidR="00443A25" w:rsidRPr="00443A25" w:rsidRDefault="00443A25" w:rsidP="00C103C1">
            <w:pPr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Klíč – centrum sociálních služeb, p. o.: 1 849 000 Kč/rok</w:t>
            </w:r>
          </w:p>
        </w:tc>
      </w:tr>
      <w:tr w:rsidR="00443A25" w:rsidRPr="00443A25" w:rsidTr="00C103C1">
        <w:trPr>
          <w:cantSplit/>
        </w:trPr>
        <w:tc>
          <w:tcPr>
            <w:tcW w:w="343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43A2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2137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rPr>
                <w:rFonts w:ascii="Arial" w:hAnsi="Arial" w:cs="Arial"/>
                <w:b/>
              </w:rPr>
            </w:pPr>
            <w:r w:rsidRPr="00443A25">
              <w:rPr>
                <w:rFonts w:ascii="Arial" w:hAnsi="Arial" w:cs="Arial"/>
                <w:b/>
              </w:rPr>
              <w:t>Předpokládané finanční zdroje:</w:t>
            </w:r>
          </w:p>
        </w:tc>
        <w:tc>
          <w:tcPr>
            <w:tcW w:w="0" w:type="auto"/>
          </w:tcPr>
          <w:p w:rsidR="00443A25" w:rsidRPr="00443A25" w:rsidRDefault="00443A25" w:rsidP="00C103C1">
            <w:pPr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 xml:space="preserve">MPSV ČR, Olomoucký kraj, </w:t>
            </w:r>
            <w:proofErr w:type="spellStart"/>
            <w:r w:rsidRPr="00443A25">
              <w:rPr>
                <w:rFonts w:ascii="Arial" w:hAnsi="Arial" w:cs="Arial"/>
              </w:rPr>
              <w:t>SMOl</w:t>
            </w:r>
            <w:proofErr w:type="spellEnd"/>
            <w:r w:rsidRPr="00443A25">
              <w:rPr>
                <w:rFonts w:ascii="Arial" w:hAnsi="Arial" w:cs="Arial"/>
              </w:rPr>
              <w:t>, uživatelé služeb, sponzoři</w:t>
            </w:r>
          </w:p>
          <w:p w:rsidR="00443A25" w:rsidRPr="00443A25" w:rsidRDefault="00443A25" w:rsidP="00C103C1">
            <w:pPr>
              <w:rPr>
                <w:rFonts w:ascii="Arial" w:hAnsi="Arial" w:cs="Arial"/>
              </w:rPr>
            </w:pPr>
          </w:p>
        </w:tc>
      </w:tr>
      <w:tr w:rsidR="00443A25" w:rsidRPr="00443A25" w:rsidTr="00C103C1">
        <w:trPr>
          <w:cantSplit/>
        </w:trPr>
        <w:tc>
          <w:tcPr>
            <w:tcW w:w="343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43A2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2137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rPr>
                <w:rFonts w:ascii="Arial" w:hAnsi="Arial" w:cs="Arial"/>
                <w:b/>
              </w:rPr>
            </w:pPr>
            <w:r w:rsidRPr="00443A25">
              <w:rPr>
                <w:rFonts w:ascii="Arial" w:hAnsi="Arial" w:cs="Arial"/>
                <w:b/>
              </w:rPr>
              <w:t>Předpokládaní realizátoři a partneři opatření:</w:t>
            </w:r>
          </w:p>
        </w:tc>
        <w:tc>
          <w:tcPr>
            <w:tcW w:w="0" w:type="auto"/>
          </w:tcPr>
          <w:p w:rsidR="00443A25" w:rsidRPr="00443A25" w:rsidRDefault="00443A25" w:rsidP="00C103C1">
            <w:pPr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  <w:b/>
              </w:rPr>
              <w:t>Realizátor</w:t>
            </w:r>
            <w:r w:rsidRPr="00443A25">
              <w:rPr>
                <w:rFonts w:ascii="Arial" w:hAnsi="Arial" w:cs="Arial"/>
              </w:rPr>
              <w:t xml:space="preserve">: </w:t>
            </w:r>
            <w:r w:rsidRPr="00443A25">
              <w:rPr>
                <w:rFonts w:ascii="Arial" w:hAnsi="Arial" w:cs="Arial"/>
                <w:color w:val="FF0000"/>
              </w:rPr>
              <w:t>Charita Olomouc</w:t>
            </w:r>
            <w:r w:rsidRPr="00443A25">
              <w:rPr>
                <w:rFonts w:ascii="Arial" w:hAnsi="Arial" w:cs="Arial"/>
              </w:rPr>
              <w:t>, Klíč – centrum sociálních služeb, p. o.</w:t>
            </w:r>
          </w:p>
          <w:p w:rsidR="00443A25" w:rsidRPr="00443A25" w:rsidRDefault="00443A25" w:rsidP="00C103C1">
            <w:pPr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  <w:b/>
              </w:rPr>
              <w:t>Partner</w:t>
            </w:r>
            <w:r w:rsidRPr="00443A25">
              <w:rPr>
                <w:rFonts w:ascii="Arial" w:hAnsi="Arial" w:cs="Arial"/>
              </w:rPr>
              <w:t xml:space="preserve">: MPSV ČR, Olomoucký kraj, </w:t>
            </w:r>
            <w:proofErr w:type="spellStart"/>
            <w:r w:rsidRPr="00443A25">
              <w:rPr>
                <w:rFonts w:ascii="Arial" w:hAnsi="Arial" w:cs="Arial"/>
              </w:rPr>
              <w:t>SMOl</w:t>
            </w:r>
            <w:proofErr w:type="spellEnd"/>
            <w:r w:rsidRPr="00443A25">
              <w:rPr>
                <w:rFonts w:ascii="Arial" w:hAnsi="Arial" w:cs="Arial"/>
              </w:rPr>
              <w:t xml:space="preserve">, PL Šternberk, FN Olomouc, VN Olomouc, CDZ, Společnost Mana, o.p.s., </w:t>
            </w:r>
            <w:proofErr w:type="gramStart"/>
            <w:r w:rsidRPr="00443A25">
              <w:rPr>
                <w:rFonts w:ascii="Arial" w:hAnsi="Arial" w:cs="Arial"/>
              </w:rPr>
              <w:t>Kolumbus z.s.</w:t>
            </w:r>
            <w:proofErr w:type="gramEnd"/>
            <w:r w:rsidRPr="00443A25">
              <w:rPr>
                <w:rFonts w:ascii="Arial" w:hAnsi="Arial" w:cs="Arial"/>
              </w:rPr>
              <w:t>, z.s. iPoradna</w:t>
            </w:r>
          </w:p>
        </w:tc>
      </w:tr>
      <w:tr w:rsidR="00443A25" w:rsidRPr="00443A25" w:rsidTr="00C103C1">
        <w:trPr>
          <w:cantSplit/>
        </w:trPr>
        <w:tc>
          <w:tcPr>
            <w:tcW w:w="343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43A2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2137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rPr>
                <w:rFonts w:ascii="Arial" w:hAnsi="Arial" w:cs="Arial"/>
                <w:b/>
              </w:rPr>
            </w:pPr>
            <w:r w:rsidRPr="00443A25">
              <w:rPr>
                <w:rFonts w:ascii="Arial" w:hAnsi="Arial" w:cs="Arial"/>
                <w:b/>
              </w:rPr>
              <w:t>Hodnotící indikátory výstupů a výsledků:</w:t>
            </w:r>
          </w:p>
        </w:tc>
        <w:tc>
          <w:tcPr>
            <w:tcW w:w="0" w:type="auto"/>
          </w:tcPr>
          <w:p w:rsidR="00443A25" w:rsidRPr="00443A25" w:rsidRDefault="00443A25" w:rsidP="00C103C1">
            <w:pPr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Charita Olomouc</w:t>
            </w:r>
          </w:p>
          <w:p w:rsidR="00443A25" w:rsidRPr="00443A25" w:rsidRDefault="00443A25" w:rsidP="00443A25">
            <w:pPr>
              <w:numPr>
                <w:ilvl w:val="0"/>
                <w:numId w:val="15"/>
              </w:numPr>
              <w:suppressAutoHyphens w:val="0"/>
              <w:ind w:left="357" w:hanging="357"/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35 osob/rok</w:t>
            </w:r>
          </w:p>
          <w:p w:rsidR="00443A25" w:rsidRPr="00443A25" w:rsidRDefault="00443A25" w:rsidP="00C103C1">
            <w:pPr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Klíč – centrum sociálních služeb, p. o.</w:t>
            </w:r>
          </w:p>
          <w:p w:rsidR="00443A25" w:rsidRPr="00443A25" w:rsidRDefault="00443A25" w:rsidP="00443A25">
            <w:pPr>
              <w:numPr>
                <w:ilvl w:val="0"/>
                <w:numId w:val="15"/>
              </w:numPr>
              <w:suppressAutoHyphens w:val="0"/>
              <w:ind w:left="357" w:hanging="357"/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7 osob/rok</w:t>
            </w:r>
          </w:p>
        </w:tc>
      </w:tr>
    </w:tbl>
    <w:p w:rsidR="00567D31" w:rsidRDefault="00567D31"/>
    <w:p w:rsidR="00443A25" w:rsidRDefault="00443A25"/>
    <w:tbl>
      <w:tblPr>
        <w:tblW w:w="8960" w:type="dxa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3"/>
        <w:gridCol w:w="1986"/>
        <w:gridCol w:w="6531"/>
      </w:tblGrid>
      <w:tr w:rsidR="00443A25" w:rsidRPr="00443A25" w:rsidTr="00C103C1">
        <w:trPr>
          <w:cantSplit/>
          <w:trHeight w:val="279"/>
        </w:trPr>
        <w:tc>
          <w:tcPr>
            <w:tcW w:w="443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1986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b/>
                <w:color w:val="000000"/>
              </w:rPr>
              <w:t>Kód opatření:</w:t>
            </w:r>
          </w:p>
        </w:tc>
        <w:tc>
          <w:tcPr>
            <w:tcW w:w="6530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proofErr w:type="gramStart"/>
            <w:r w:rsidRPr="00443A25">
              <w:rPr>
                <w:rFonts w:ascii="Arial" w:hAnsi="Arial" w:cs="Arial"/>
                <w:color w:val="000000"/>
              </w:rPr>
              <w:t>2.1.12</w:t>
            </w:r>
            <w:proofErr w:type="gramEnd"/>
          </w:p>
        </w:tc>
      </w:tr>
      <w:tr w:rsidR="00443A25" w:rsidRPr="00443A25" w:rsidTr="00C103C1">
        <w:trPr>
          <w:cantSplit/>
          <w:trHeight w:val="283"/>
        </w:trPr>
        <w:tc>
          <w:tcPr>
            <w:tcW w:w="443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1986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b/>
                <w:color w:val="000000"/>
              </w:rPr>
              <w:t>Název opatření:</w:t>
            </w:r>
          </w:p>
        </w:tc>
        <w:tc>
          <w:tcPr>
            <w:tcW w:w="6530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  <w:highlight w:val="yellow"/>
              </w:rPr>
              <w:t>Sociální rehabilitace</w:t>
            </w:r>
          </w:p>
        </w:tc>
      </w:tr>
      <w:tr w:rsidR="00443A25" w:rsidRPr="00443A25" w:rsidTr="00C103C1">
        <w:trPr>
          <w:cantSplit/>
          <w:trHeight w:val="698"/>
        </w:trPr>
        <w:tc>
          <w:tcPr>
            <w:tcW w:w="443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1986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b/>
                <w:color w:val="000000"/>
              </w:rPr>
              <w:t>Charakteristika opatření:</w:t>
            </w:r>
          </w:p>
        </w:tc>
        <w:tc>
          <w:tcPr>
            <w:tcW w:w="6530" w:type="dxa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>Opatření směřuje k zajištění služeb sociální rehabilitace pro osoby s tělesným,</w:t>
            </w:r>
          </w:p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>mentálním, zrakovým, sluchovým a kombinovaným postižením a duševním</w:t>
            </w:r>
          </w:p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>onemocněním. V rámci opatření dojde rovněž k navýšení pracovních úvazků</w:t>
            </w:r>
          </w:p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>u této služby.</w:t>
            </w:r>
          </w:p>
        </w:tc>
      </w:tr>
      <w:tr w:rsidR="00443A25" w:rsidRPr="00443A25" w:rsidTr="00C103C1">
        <w:trPr>
          <w:cantSplit/>
          <w:trHeight w:val="248"/>
        </w:trPr>
        <w:tc>
          <w:tcPr>
            <w:tcW w:w="443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6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b/>
                <w:color w:val="000000"/>
              </w:rPr>
              <w:t>Cílová skupina</w:t>
            </w:r>
          </w:p>
        </w:tc>
        <w:tc>
          <w:tcPr>
            <w:tcW w:w="6530" w:type="dxa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>11 osoby se závažným duševním onemocněním, 13 osoby s jiným zdravotním</w:t>
            </w:r>
          </w:p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>postižením, 14 osoby s kombinovaným postižením, 15 osoby s mentálním</w:t>
            </w:r>
          </w:p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>postižením, 16 osoby s tělesným postižením, 17 osoby se sluchovým postižením, 19 osoby se zrakovým postižením</w:t>
            </w:r>
          </w:p>
        </w:tc>
      </w:tr>
      <w:tr w:rsidR="00443A25" w:rsidRPr="00443A25" w:rsidTr="00C103C1">
        <w:trPr>
          <w:cantSplit/>
          <w:trHeight w:val="248"/>
        </w:trPr>
        <w:tc>
          <w:tcPr>
            <w:tcW w:w="443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6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b/>
                <w:color w:val="000000"/>
              </w:rPr>
              <w:t>Druh služby</w:t>
            </w:r>
          </w:p>
        </w:tc>
        <w:tc>
          <w:tcPr>
            <w:tcW w:w="6530" w:type="dxa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>26 Sociální rehabilitace (§ 70)</w:t>
            </w:r>
          </w:p>
        </w:tc>
      </w:tr>
      <w:tr w:rsidR="00443A25" w:rsidRPr="00443A25" w:rsidTr="00C103C1">
        <w:trPr>
          <w:cantSplit/>
          <w:trHeight w:val="248"/>
        </w:trPr>
        <w:tc>
          <w:tcPr>
            <w:tcW w:w="443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6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b/>
                <w:color w:val="000000"/>
              </w:rPr>
              <w:t>Forma služby</w:t>
            </w:r>
          </w:p>
        </w:tc>
        <w:tc>
          <w:tcPr>
            <w:tcW w:w="6530" w:type="dxa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>1 terénní, 2 ambulantní</w:t>
            </w:r>
          </w:p>
        </w:tc>
      </w:tr>
      <w:tr w:rsidR="00443A25" w:rsidRPr="00443A25" w:rsidTr="00C103C1">
        <w:trPr>
          <w:cantSplit/>
          <w:trHeight w:val="248"/>
        </w:trPr>
        <w:tc>
          <w:tcPr>
            <w:tcW w:w="443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1986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b/>
                <w:color w:val="000000"/>
              </w:rPr>
              <w:t>Vymezení územního dopadu opatření:</w:t>
            </w:r>
          </w:p>
        </w:tc>
        <w:tc>
          <w:tcPr>
            <w:tcW w:w="6530" w:type="dxa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>území ORP Olomouc</w:t>
            </w:r>
          </w:p>
        </w:tc>
      </w:tr>
      <w:tr w:rsidR="00443A25" w:rsidRPr="00443A25" w:rsidTr="00C103C1">
        <w:trPr>
          <w:cantSplit/>
          <w:trHeight w:val="964"/>
        </w:trPr>
        <w:tc>
          <w:tcPr>
            <w:tcW w:w="443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b/>
                <w:color w:val="000000"/>
              </w:rPr>
              <w:t>5</w:t>
            </w:r>
          </w:p>
        </w:tc>
        <w:tc>
          <w:tcPr>
            <w:tcW w:w="1986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b/>
                <w:color w:val="000000"/>
              </w:rPr>
              <w:t>Předpokládané dopady opatření:</w:t>
            </w:r>
          </w:p>
        </w:tc>
        <w:tc>
          <w:tcPr>
            <w:tcW w:w="6530" w:type="dxa"/>
          </w:tcPr>
          <w:p w:rsidR="00443A25" w:rsidRPr="00443A25" w:rsidRDefault="00443A25" w:rsidP="00443A25">
            <w:pPr>
              <w:pStyle w:val="Odstavecseseznamem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Chars="151" w:left="662"/>
              <w:textDirection w:val="btLr"/>
              <w:textAlignment w:val="top"/>
              <w:outlineLvl w:val="0"/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zvýšení samostatnosti a zlepšení péče o vlastní osobu a domácnost</w:t>
            </w:r>
          </w:p>
          <w:p w:rsidR="00443A25" w:rsidRPr="00443A25" w:rsidRDefault="00443A25" w:rsidP="00C103C1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="722"/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v přirozeném prostředí uživatele</w:t>
            </w:r>
          </w:p>
          <w:p w:rsidR="00443A25" w:rsidRPr="00443A25" w:rsidRDefault="00443A25" w:rsidP="00443A25">
            <w:pPr>
              <w:pStyle w:val="Odstavecseseznamem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Chars="151" w:left="662"/>
              <w:textDirection w:val="btLr"/>
              <w:textAlignment w:val="top"/>
              <w:outlineLvl w:val="0"/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posílení náhledu uživatele na onemocnění, na rizika spojená s jeho</w:t>
            </w:r>
          </w:p>
          <w:p w:rsidR="00443A25" w:rsidRPr="00443A25" w:rsidRDefault="00443A25" w:rsidP="00C103C1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="722"/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zdravotním stavem, posílení režimu dne a možností ambulantní léčby</w:t>
            </w:r>
          </w:p>
          <w:p w:rsidR="00443A25" w:rsidRPr="00443A25" w:rsidRDefault="00443A25" w:rsidP="00443A25">
            <w:pPr>
              <w:pStyle w:val="Odstavecseseznamem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Chars="151" w:left="662"/>
              <w:textDirection w:val="btLr"/>
              <w:textAlignment w:val="top"/>
              <w:outlineLvl w:val="0"/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posílení návyků, schopností a dovedností, které vedou ke zvýšení kvality života, zvýšení zaměstnatelnosti</w:t>
            </w:r>
          </w:p>
          <w:p w:rsidR="00443A25" w:rsidRPr="00443A25" w:rsidRDefault="00443A25" w:rsidP="00443A25">
            <w:pPr>
              <w:pStyle w:val="Odstavecseseznamem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Chars="151" w:left="662"/>
              <w:textDirection w:val="btLr"/>
              <w:textAlignment w:val="top"/>
              <w:outlineLvl w:val="0"/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prevence sociální izolace a zlepšení psychického stavu uživatele</w:t>
            </w:r>
          </w:p>
          <w:p w:rsidR="00443A25" w:rsidRPr="00443A25" w:rsidRDefault="00443A25" w:rsidP="00443A25">
            <w:pPr>
              <w:pStyle w:val="Odstavecseseznamem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Chars="151" w:left="662"/>
              <w:textDirection w:val="btLr"/>
              <w:textAlignment w:val="top"/>
              <w:outlineLvl w:val="0"/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posílení schopnosti prostorové orientace v domácím i venkovním prostředí</w:t>
            </w:r>
          </w:p>
          <w:p w:rsidR="00443A25" w:rsidRPr="00443A25" w:rsidRDefault="00443A25" w:rsidP="00443A25">
            <w:pPr>
              <w:pStyle w:val="Odstavecseseznamem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Chars="151" w:left="662"/>
              <w:textDirection w:val="btLr"/>
              <w:textAlignment w:val="top"/>
              <w:outlineLvl w:val="0"/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snížení nákladů na případnou zdravotní péči, zkrácení hospitalizace</w:t>
            </w:r>
          </w:p>
          <w:p w:rsidR="00443A25" w:rsidRPr="00443A25" w:rsidRDefault="00443A25" w:rsidP="00443A25">
            <w:pPr>
              <w:pStyle w:val="Odstavecseseznamem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Chars="151" w:left="662"/>
              <w:textDirection w:val="btLr"/>
              <w:textAlignment w:val="top"/>
              <w:outlineLvl w:val="0"/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podchycení osob se závažným duševním onemocněním v populaci, kteří nyní nejsou v síti sociální ani zdravotní péče</w:t>
            </w:r>
          </w:p>
          <w:p w:rsidR="00443A25" w:rsidRPr="00443A25" w:rsidRDefault="00443A25" w:rsidP="00443A25">
            <w:pPr>
              <w:pStyle w:val="Odstavecseseznamem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Chars="151" w:left="662"/>
              <w:textDirection w:val="btLr"/>
              <w:textAlignment w:val="top"/>
              <w:outlineLvl w:val="0"/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zajištění kontinuální péče – využití celého multidisciplinárního týmu –</w:t>
            </w:r>
          </w:p>
          <w:p w:rsidR="00443A25" w:rsidRPr="00443A25" w:rsidRDefault="00443A25" w:rsidP="00C103C1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="722"/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psychiatr, psycholog, zdravotní sestra, sociální pracovník a peer konzultant</w:t>
            </w:r>
          </w:p>
        </w:tc>
      </w:tr>
      <w:tr w:rsidR="00443A25" w:rsidRPr="00443A25" w:rsidTr="00C103C1">
        <w:trPr>
          <w:cantSplit/>
          <w:trHeight w:val="964"/>
        </w:trPr>
        <w:tc>
          <w:tcPr>
            <w:tcW w:w="443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b/>
                <w:color w:val="000000"/>
              </w:rPr>
              <w:t>6</w:t>
            </w:r>
          </w:p>
        </w:tc>
        <w:tc>
          <w:tcPr>
            <w:tcW w:w="1986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b/>
                <w:color w:val="000000"/>
              </w:rPr>
              <w:t>Rizika a ohrožení naplnění opatření:</w:t>
            </w:r>
          </w:p>
        </w:tc>
        <w:tc>
          <w:tcPr>
            <w:tcW w:w="6530" w:type="dxa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1. nedostatek finančních prostředků na provoz služby</w:t>
            </w:r>
          </w:p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2. výrazná změna legislativy</w:t>
            </w:r>
          </w:p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3. nejasná legislativa pro centra duševního zdraví a jejich financování</w:t>
            </w:r>
          </w:p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4. centrum duševního zdraví zajištění podpory v odborné i laické veřejnosti</w:t>
            </w:r>
          </w:p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5. nedostatečný zájem ze strany uživatelů</w:t>
            </w:r>
          </w:p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6. nižší zájem a ochota ze strany zaměstnavatelů</w:t>
            </w:r>
          </w:p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7. nedostatek kvalifikovaných pracovníků (např. neznalost znakového jazyka)</w:t>
            </w:r>
          </w:p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8. nedostatek prostor k poskytování služby + zázemí pro zaměstnance</w:t>
            </w:r>
          </w:p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9. nedostatek příležitostí k osamostatňování (zaměstnání, byty aj.)</w:t>
            </w:r>
          </w:p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10. omezení vyplývající z nepříznivé epidemické situace</w:t>
            </w:r>
          </w:p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11. nebude schváleno navýšení jednotek stávajících služeb v síti</w:t>
            </w:r>
          </w:p>
        </w:tc>
      </w:tr>
      <w:tr w:rsidR="00443A25" w:rsidRPr="00443A25" w:rsidTr="00C103C1">
        <w:trPr>
          <w:cantSplit/>
          <w:trHeight w:val="996"/>
        </w:trPr>
        <w:tc>
          <w:tcPr>
            <w:tcW w:w="443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b/>
                <w:color w:val="000000"/>
              </w:rPr>
              <w:t>7</w:t>
            </w:r>
          </w:p>
        </w:tc>
        <w:tc>
          <w:tcPr>
            <w:tcW w:w="1986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b/>
                <w:color w:val="000000"/>
              </w:rPr>
              <w:t>Aktivity vedoucí k naplnění opatření:</w:t>
            </w:r>
          </w:p>
        </w:tc>
        <w:tc>
          <w:tcPr>
            <w:tcW w:w="6530" w:type="dxa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1. poskytování sociální služby sociální rehabilitace</w:t>
            </w:r>
          </w:p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2. zajištění finančních prostředků na provoz služby ve stávajícím rozsahu a</w:t>
            </w:r>
          </w:p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kvalitě</w:t>
            </w:r>
          </w:p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3. průběžné hodnocení kvality a efektivity služby</w:t>
            </w:r>
          </w:p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4. vzdělávání a rozvoj sociálních pracovníků a pracovníků v sociální službě</w:t>
            </w:r>
          </w:p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5. zajištění kvalitního personálního obsazení služby</w:t>
            </w:r>
          </w:p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 xml:space="preserve">6. osvětová činnost, reforma psychiatrické péče, </w:t>
            </w:r>
            <w:proofErr w:type="spellStart"/>
            <w:r w:rsidRPr="00443A25">
              <w:rPr>
                <w:rFonts w:ascii="Arial" w:hAnsi="Arial" w:cs="Arial"/>
              </w:rPr>
              <w:t>destigmatizace</w:t>
            </w:r>
            <w:proofErr w:type="spellEnd"/>
          </w:p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>7. podaná žádost o navýšení jednotek</w:t>
            </w:r>
          </w:p>
        </w:tc>
      </w:tr>
      <w:tr w:rsidR="00443A25" w:rsidRPr="00443A25" w:rsidTr="00C103C1">
        <w:trPr>
          <w:cantSplit/>
          <w:trHeight w:val="964"/>
        </w:trPr>
        <w:tc>
          <w:tcPr>
            <w:tcW w:w="443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b/>
                <w:color w:val="000000"/>
              </w:rPr>
              <w:t>8</w:t>
            </w:r>
          </w:p>
        </w:tc>
        <w:tc>
          <w:tcPr>
            <w:tcW w:w="1986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b/>
                <w:color w:val="000000"/>
              </w:rPr>
              <w:t>Časový harmonogram plnění opatření:</w:t>
            </w:r>
          </w:p>
        </w:tc>
        <w:tc>
          <w:tcPr>
            <w:tcW w:w="6530" w:type="dxa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</w:rPr>
            </w:pPr>
            <w:r w:rsidRPr="00443A25">
              <w:rPr>
                <w:rFonts w:ascii="Arial" w:hAnsi="Arial" w:cs="Arial"/>
              </w:rPr>
              <w:t xml:space="preserve">2023 – 2025 </w:t>
            </w:r>
            <w:r w:rsidRPr="00443A25">
              <w:rPr>
                <w:rFonts w:ascii="Arial" w:hAnsi="Arial" w:cs="Arial"/>
                <w:color w:val="FF0000"/>
              </w:rPr>
              <w:t>(od roku 2024 Charita Olomouc)</w:t>
            </w:r>
          </w:p>
        </w:tc>
      </w:tr>
      <w:tr w:rsidR="00443A25" w:rsidRPr="00443A25" w:rsidTr="00C103C1">
        <w:trPr>
          <w:cantSplit/>
          <w:trHeight w:val="766"/>
        </w:trPr>
        <w:tc>
          <w:tcPr>
            <w:tcW w:w="443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b/>
                <w:color w:val="000000"/>
              </w:rPr>
              <w:lastRenderedPageBreak/>
              <w:t>9</w:t>
            </w:r>
          </w:p>
        </w:tc>
        <w:tc>
          <w:tcPr>
            <w:tcW w:w="1986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b/>
                <w:color w:val="000000"/>
              </w:rPr>
              <w:t>Předpokládaná výše finančních nákladů na realizaci opatření:</w:t>
            </w:r>
          </w:p>
        </w:tc>
        <w:tc>
          <w:tcPr>
            <w:tcW w:w="6530" w:type="dxa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proofErr w:type="spellStart"/>
            <w:r w:rsidRPr="00443A25">
              <w:rPr>
                <w:rFonts w:ascii="Arial" w:hAnsi="Arial" w:cs="Arial"/>
                <w:color w:val="000000"/>
              </w:rPr>
              <w:t>Tyfloservis</w:t>
            </w:r>
            <w:proofErr w:type="spellEnd"/>
            <w:r w:rsidRPr="00443A25">
              <w:rPr>
                <w:rFonts w:ascii="Arial" w:hAnsi="Arial" w:cs="Arial"/>
                <w:color w:val="000000"/>
              </w:rPr>
              <w:t>, o.p.s.: 2 237 000 Kč/rok</w:t>
            </w:r>
          </w:p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proofErr w:type="spellStart"/>
            <w:r w:rsidRPr="00443A25">
              <w:rPr>
                <w:rFonts w:ascii="Arial" w:hAnsi="Arial" w:cs="Arial"/>
                <w:color w:val="000000"/>
              </w:rPr>
              <w:t>TyfloCentrum</w:t>
            </w:r>
            <w:proofErr w:type="spellEnd"/>
            <w:r w:rsidRPr="00443A25">
              <w:rPr>
                <w:rFonts w:ascii="Arial" w:hAnsi="Arial" w:cs="Arial"/>
                <w:color w:val="000000"/>
              </w:rPr>
              <w:t xml:space="preserve"> Olomouc, o.p.s.: 1 120 000 Kč/rok</w:t>
            </w:r>
          </w:p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>SPOLU Olomouc: 3 444 000 Kč/rok</w:t>
            </w:r>
          </w:p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 xml:space="preserve">Jdeme Autistům </w:t>
            </w:r>
            <w:proofErr w:type="gramStart"/>
            <w:r w:rsidRPr="00443A25">
              <w:rPr>
                <w:rFonts w:ascii="Arial" w:hAnsi="Arial" w:cs="Arial"/>
                <w:color w:val="000000"/>
              </w:rPr>
              <w:t>Naproti z.s.</w:t>
            </w:r>
            <w:proofErr w:type="gramEnd"/>
            <w:r w:rsidRPr="00443A25">
              <w:rPr>
                <w:rFonts w:ascii="Arial" w:hAnsi="Arial" w:cs="Arial"/>
                <w:color w:val="000000"/>
              </w:rPr>
              <w:t>: 2 500 000 Kč/rok</w:t>
            </w:r>
          </w:p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>Oblastní unie neslyšících Olomouc: 900 000 Kč/rok</w:t>
            </w:r>
          </w:p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>Spolek Trend vozíčkářů Olomouc: 2 400 000 Kč/rok</w:t>
            </w:r>
          </w:p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>Společnost Mana, o.p.s., Centrum psychosociální rehabilitace: 2 700 000Kč/rok</w:t>
            </w:r>
          </w:p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>Společnost Mana, o.p.s.: Centrum duševního zdraví: 4 000 000 Kč/rok</w:t>
            </w:r>
          </w:p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proofErr w:type="gramStart"/>
            <w:r w:rsidRPr="00443A25">
              <w:rPr>
                <w:rFonts w:ascii="Arial" w:hAnsi="Arial" w:cs="Arial"/>
                <w:color w:val="000000"/>
              </w:rPr>
              <w:t>z.s.</w:t>
            </w:r>
            <w:proofErr w:type="gramEnd"/>
            <w:r w:rsidRPr="00443A25">
              <w:rPr>
                <w:rFonts w:ascii="Arial" w:hAnsi="Arial" w:cs="Arial"/>
                <w:color w:val="000000"/>
              </w:rPr>
              <w:t xml:space="preserve"> iPoradna: 2 754 100 Kč/rok</w:t>
            </w:r>
          </w:p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FF0000"/>
              </w:rPr>
              <w:t>Charita Olomouc: 1 940 000 Kč/rok</w:t>
            </w:r>
          </w:p>
        </w:tc>
      </w:tr>
      <w:tr w:rsidR="00443A25" w:rsidRPr="00443A25" w:rsidTr="00C103C1">
        <w:trPr>
          <w:cantSplit/>
          <w:trHeight w:val="408"/>
        </w:trPr>
        <w:tc>
          <w:tcPr>
            <w:tcW w:w="443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b/>
                <w:color w:val="000000"/>
              </w:rPr>
              <w:t>10</w:t>
            </w:r>
          </w:p>
        </w:tc>
        <w:tc>
          <w:tcPr>
            <w:tcW w:w="1986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b/>
                <w:color w:val="000000"/>
              </w:rPr>
              <w:t>Předpokládané finanční zdroje:</w:t>
            </w:r>
          </w:p>
        </w:tc>
        <w:tc>
          <w:tcPr>
            <w:tcW w:w="6530" w:type="dxa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 xml:space="preserve">MPSV ČR, Olomoucký kraj, </w:t>
            </w:r>
            <w:proofErr w:type="spellStart"/>
            <w:r w:rsidRPr="00443A25">
              <w:rPr>
                <w:rFonts w:ascii="Arial" w:hAnsi="Arial" w:cs="Arial"/>
                <w:color w:val="000000"/>
              </w:rPr>
              <w:t>SMOl</w:t>
            </w:r>
            <w:proofErr w:type="spellEnd"/>
            <w:r w:rsidRPr="00443A25">
              <w:rPr>
                <w:rFonts w:ascii="Arial" w:hAnsi="Arial" w:cs="Arial"/>
                <w:color w:val="000000"/>
              </w:rPr>
              <w:t>, nadace, nadační fondy, sponzoři, dary,</w:t>
            </w:r>
          </w:p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>sbírky, vlastní zdroje</w:t>
            </w:r>
          </w:p>
        </w:tc>
      </w:tr>
      <w:tr w:rsidR="00443A25" w:rsidRPr="00443A25" w:rsidTr="00C103C1">
        <w:trPr>
          <w:cantSplit/>
          <w:trHeight w:val="783"/>
        </w:trPr>
        <w:tc>
          <w:tcPr>
            <w:tcW w:w="443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b/>
                <w:color w:val="000000"/>
              </w:rPr>
              <w:t>11</w:t>
            </w:r>
          </w:p>
        </w:tc>
        <w:tc>
          <w:tcPr>
            <w:tcW w:w="1986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b/>
                <w:color w:val="000000"/>
              </w:rPr>
              <w:t>Předpokládaní realizátoři a partneři opatření:</w:t>
            </w:r>
          </w:p>
        </w:tc>
        <w:tc>
          <w:tcPr>
            <w:tcW w:w="6530" w:type="dxa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 xml:space="preserve">Realizátor: </w:t>
            </w:r>
            <w:proofErr w:type="spellStart"/>
            <w:r w:rsidRPr="00443A25">
              <w:rPr>
                <w:rFonts w:ascii="Arial" w:hAnsi="Arial" w:cs="Arial"/>
                <w:color w:val="000000"/>
              </w:rPr>
              <w:t>Tyfloservis</w:t>
            </w:r>
            <w:proofErr w:type="spellEnd"/>
            <w:r w:rsidRPr="00443A25">
              <w:rPr>
                <w:rFonts w:ascii="Arial" w:hAnsi="Arial" w:cs="Arial"/>
                <w:color w:val="000000"/>
              </w:rPr>
              <w:t xml:space="preserve">, o.p.s., </w:t>
            </w:r>
            <w:proofErr w:type="spellStart"/>
            <w:r w:rsidRPr="00443A25">
              <w:rPr>
                <w:rFonts w:ascii="Arial" w:hAnsi="Arial" w:cs="Arial"/>
                <w:color w:val="000000"/>
              </w:rPr>
              <w:t>TyfloCentrum</w:t>
            </w:r>
            <w:proofErr w:type="spellEnd"/>
            <w:r w:rsidRPr="00443A25">
              <w:rPr>
                <w:rFonts w:ascii="Arial" w:hAnsi="Arial" w:cs="Arial"/>
                <w:color w:val="000000"/>
              </w:rPr>
              <w:t xml:space="preserve"> Olomouc, o.p.s., SPOLU</w:t>
            </w:r>
          </w:p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 xml:space="preserve">Olomouc, Jdeme Autistům </w:t>
            </w:r>
            <w:proofErr w:type="gramStart"/>
            <w:r w:rsidRPr="00443A25">
              <w:rPr>
                <w:rFonts w:ascii="Arial" w:hAnsi="Arial" w:cs="Arial"/>
                <w:color w:val="000000"/>
              </w:rPr>
              <w:t>Naproti z.s.</w:t>
            </w:r>
            <w:proofErr w:type="gramEnd"/>
            <w:r w:rsidRPr="00443A25">
              <w:rPr>
                <w:rFonts w:ascii="Arial" w:hAnsi="Arial" w:cs="Arial"/>
                <w:color w:val="000000"/>
              </w:rPr>
              <w:t>, Oblastní unie neslyšících Olomouc,</w:t>
            </w:r>
          </w:p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>Spolek Trend vozíčkářů Olomouc, Společnost Mana, o.p.</w:t>
            </w:r>
            <w:proofErr w:type="gramStart"/>
            <w:r w:rsidRPr="00443A25">
              <w:rPr>
                <w:rFonts w:ascii="Arial" w:hAnsi="Arial" w:cs="Arial"/>
                <w:color w:val="000000"/>
              </w:rPr>
              <w:t>s., z.s.</w:t>
            </w:r>
            <w:proofErr w:type="gramEnd"/>
            <w:r w:rsidRPr="00443A25">
              <w:rPr>
                <w:rFonts w:ascii="Arial" w:hAnsi="Arial" w:cs="Arial"/>
                <w:color w:val="000000"/>
              </w:rPr>
              <w:t xml:space="preserve"> iPoradna, </w:t>
            </w:r>
            <w:r w:rsidRPr="00443A25">
              <w:rPr>
                <w:rFonts w:ascii="Arial" w:hAnsi="Arial" w:cs="Arial"/>
                <w:color w:val="FF0000"/>
              </w:rPr>
              <w:t>Charita Olomouc</w:t>
            </w:r>
          </w:p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>Partner: UPOL, Rodinné integrační centrum Pardubice, PL Šternberk,</w:t>
            </w:r>
          </w:p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>FN Olomouc, VN Olomouc, UPOL, ZO Kolumbus-Haná</w:t>
            </w:r>
          </w:p>
        </w:tc>
      </w:tr>
      <w:tr w:rsidR="00443A25" w:rsidRPr="00443A25" w:rsidTr="00C103C1">
        <w:trPr>
          <w:cantSplit/>
          <w:trHeight w:val="425"/>
        </w:trPr>
        <w:tc>
          <w:tcPr>
            <w:tcW w:w="443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b/>
                <w:color w:val="000000"/>
              </w:rPr>
              <w:t>12</w:t>
            </w:r>
          </w:p>
        </w:tc>
        <w:tc>
          <w:tcPr>
            <w:tcW w:w="1986" w:type="dxa"/>
            <w:shd w:val="clear" w:color="auto" w:fill="FBD4B4" w:themeFill="accent6" w:themeFillTint="66"/>
          </w:tcPr>
          <w:p w:rsidR="00443A25" w:rsidRPr="00443A25" w:rsidRDefault="00443A25" w:rsidP="00C10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b/>
                <w:color w:val="000000"/>
              </w:rPr>
              <w:t>Hodnotící indikátory výstupů a výsledků:</w:t>
            </w:r>
          </w:p>
        </w:tc>
        <w:tc>
          <w:tcPr>
            <w:tcW w:w="6530" w:type="dxa"/>
          </w:tcPr>
          <w:p w:rsidR="00443A25" w:rsidRPr="00443A25" w:rsidRDefault="00443A25" w:rsidP="00443A25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3" w:left="66"/>
              <w:rPr>
                <w:rFonts w:ascii="Arial" w:hAnsi="Arial" w:cs="Arial"/>
                <w:color w:val="000000"/>
              </w:rPr>
            </w:pPr>
            <w:proofErr w:type="spellStart"/>
            <w:r w:rsidRPr="00443A25">
              <w:rPr>
                <w:rFonts w:ascii="Arial" w:hAnsi="Arial" w:cs="Arial"/>
                <w:color w:val="000000"/>
              </w:rPr>
              <w:t>Tyfloservis</w:t>
            </w:r>
            <w:proofErr w:type="spellEnd"/>
            <w:r w:rsidRPr="00443A25">
              <w:rPr>
                <w:rFonts w:ascii="Arial" w:hAnsi="Arial" w:cs="Arial"/>
                <w:color w:val="000000"/>
              </w:rPr>
              <w:t>, o.p.s.</w:t>
            </w:r>
          </w:p>
          <w:p w:rsidR="00443A25" w:rsidRPr="00443A25" w:rsidRDefault="00443A25" w:rsidP="00443A25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3" w:left="66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>• 198 osob/3 roky</w:t>
            </w:r>
          </w:p>
          <w:p w:rsidR="00443A25" w:rsidRPr="00443A25" w:rsidRDefault="00443A25" w:rsidP="00443A25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3" w:left="66"/>
              <w:rPr>
                <w:rFonts w:ascii="Arial" w:hAnsi="Arial" w:cs="Arial"/>
                <w:color w:val="000000"/>
              </w:rPr>
            </w:pPr>
            <w:proofErr w:type="spellStart"/>
            <w:r w:rsidRPr="00443A25">
              <w:rPr>
                <w:rFonts w:ascii="Arial" w:hAnsi="Arial" w:cs="Arial"/>
                <w:color w:val="000000"/>
              </w:rPr>
              <w:t>TyfloCentrum</w:t>
            </w:r>
            <w:proofErr w:type="spellEnd"/>
            <w:r w:rsidRPr="00443A25">
              <w:rPr>
                <w:rFonts w:ascii="Arial" w:hAnsi="Arial" w:cs="Arial"/>
                <w:color w:val="000000"/>
              </w:rPr>
              <w:t xml:space="preserve"> Olomouc</w:t>
            </w:r>
          </w:p>
          <w:p w:rsidR="00443A25" w:rsidRPr="00443A25" w:rsidRDefault="00443A25" w:rsidP="00443A25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3" w:left="66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>• 15 osob/rok</w:t>
            </w:r>
          </w:p>
          <w:p w:rsidR="00443A25" w:rsidRPr="00443A25" w:rsidRDefault="00443A25" w:rsidP="00443A25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3" w:left="66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>SPOLU Olomouc</w:t>
            </w:r>
          </w:p>
          <w:p w:rsidR="00443A25" w:rsidRPr="00443A25" w:rsidRDefault="00443A25" w:rsidP="00443A25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3" w:left="66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>• 45 osob/rok</w:t>
            </w:r>
          </w:p>
          <w:p w:rsidR="00443A25" w:rsidRPr="00443A25" w:rsidRDefault="00443A25" w:rsidP="00443A25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3" w:left="66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 xml:space="preserve">Jdeme Autistům </w:t>
            </w:r>
            <w:proofErr w:type="gramStart"/>
            <w:r w:rsidRPr="00443A25">
              <w:rPr>
                <w:rFonts w:ascii="Arial" w:hAnsi="Arial" w:cs="Arial"/>
                <w:color w:val="000000"/>
              </w:rPr>
              <w:t>Naproti z.s.</w:t>
            </w:r>
            <w:proofErr w:type="gramEnd"/>
          </w:p>
          <w:p w:rsidR="00443A25" w:rsidRPr="00443A25" w:rsidRDefault="00443A25" w:rsidP="00443A25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3" w:left="66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>• 17 klientů/ rok v Olomouci, 32 klientů/rok v ORP Olomouc</w:t>
            </w:r>
          </w:p>
          <w:p w:rsidR="00443A25" w:rsidRPr="00443A25" w:rsidRDefault="00443A25" w:rsidP="00443A25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3" w:left="66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>• navýšení úvazku v přímé péči o 7,0 úvazku</w:t>
            </w:r>
          </w:p>
          <w:p w:rsidR="00443A25" w:rsidRPr="00443A25" w:rsidRDefault="00443A25" w:rsidP="00443A25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3" w:left="66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>Oblastní unie neslyšících Olomouc</w:t>
            </w:r>
          </w:p>
          <w:p w:rsidR="00443A25" w:rsidRPr="00443A25" w:rsidRDefault="00443A25" w:rsidP="00443A25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3" w:left="66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>• 130 osob/rok</w:t>
            </w:r>
          </w:p>
          <w:p w:rsidR="00443A25" w:rsidRPr="00443A25" w:rsidRDefault="00443A25" w:rsidP="00443A25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3" w:left="66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>Spolek Trend vozíčkářů Olomouc</w:t>
            </w:r>
          </w:p>
          <w:p w:rsidR="00443A25" w:rsidRPr="00443A25" w:rsidRDefault="00443A25" w:rsidP="00443A25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3" w:left="66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>• 20 osob/rok</w:t>
            </w:r>
          </w:p>
          <w:p w:rsidR="00443A25" w:rsidRPr="00443A25" w:rsidRDefault="00443A25" w:rsidP="00443A25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3" w:left="66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>Společnost Mana, o.p.s., Centrum psychosociální rehabilitace</w:t>
            </w:r>
          </w:p>
          <w:p w:rsidR="00443A25" w:rsidRPr="00443A25" w:rsidRDefault="00443A25" w:rsidP="00443A25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3" w:left="66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>• 100 osob/rok</w:t>
            </w:r>
          </w:p>
          <w:p w:rsidR="00443A25" w:rsidRPr="00443A25" w:rsidRDefault="00443A25" w:rsidP="00443A25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3" w:left="66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>• navýšení úvazku v přímé péči o 0,2 úvazek</w:t>
            </w:r>
          </w:p>
          <w:p w:rsidR="00443A25" w:rsidRPr="00443A25" w:rsidRDefault="00443A25" w:rsidP="00443A25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3" w:left="66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>Společnost Mana, o.p.s., Centrum duševního zdraví</w:t>
            </w:r>
          </w:p>
          <w:p w:rsidR="00443A25" w:rsidRPr="00443A25" w:rsidRDefault="00443A25" w:rsidP="00443A25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3" w:left="66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>• 135 osob/rok</w:t>
            </w:r>
          </w:p>
          <w:p w:rsidR="00443A25" w:rsidRPr="00443A25" w:rsidRDefault="00443A25" w:rsidP="00443A25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3" w:left="66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>• navýšení úvazku v přímé péči o 0,5 úvazek</w:t>
            </w:r>
          </w:p>
          <w:p w:rsidR="00443A25" w:rsidRPr="00443A25" w:rsidRDefault="00443A25" w:rsidP="00443A25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3" w:left="66"/>
              <w:rPr>
                <w:rFonts w:ascii="Arial" w:hAnsi="Arial" w:cs="Arial"/>
                <w:color w:val="000000"/>
              </w:rPr>
            </w:pPr>
            <w:proofErr w:type="gramStart"/>
            <w:r w:rsidRPr="00443A25">
              <w:rPr>
                <w:rFonts w:ascii="Arial" w:hAnsi="Arial" w:cs="Arial"/>
                <w:color w:val="000000"/>
              </w:rPr>
              <w:t>z.s.</w:t>
            </w:r>
            <w:proofErr w:type="gramEnd"/>
            <w:r w:rsidRPr="00443A25">
              <w:rPr>
                <w:rFonts w:ascii="Arial" w:hAnsi="Arial" w:cs="Arial"/>
                <w:color w:val="000000"/>
              </w:rPr>
              <w:t xml:space="preserve"> iPoradna</w:t>
            </w:r>
          </w:p>
          <w:p w:rsidR="00443A25" w:rsidRPr="00443A25" w:rsidRDefault="00443A25" w:rsidP="00443A25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3" w:left="66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000000"/>
              </w:rPr>
              <w:t>• 60 osob/rok</w:t>
            </w:r>
          </w:p>
          <w:p w:rsidR="00443A25" w:rsidRPr="00443A25" w:rsidRDefault="00443A25" w:rsidP="00443A25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3" w:left="66"/>
              <w:rPr>
                <w:rFonts w:ascii="Arial" w:hAnsi="Arial" w:cs="Arial"/>
                <w:color w:val="FF0000"/>
              </w:rPr>
            </w:pPr>
            <w:r w:rsidRPr="00443A25">
              <w:rPr>
                <w:rFonts w:ascii="Arial" w:hAnsi="Arial" w:cs="Arial"/>
                <w:color w:val="FF0000"/>
              </w:rPr>
              <w:t>Charita Olomouc</w:t>
            </w:r>
          </w:p>
          <w:p w:rsidR="00443A25" w:rsidRPr="00443A25" w:rsidRDefault="00443A25" w:rsidP="00443A25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3" w:left="66"/>
              <w:rPr>
                <w:rFonts w:ascii="Arial" w:hAnsi="Arial" w:cs="Arial"/>
                <w:color w:val="000000"/>
              </w:rPr>
            </w:pPr>
            <w:r w:rsidRPr="00443A25">
              <w:rPr>
                <w:rFonts w:ascii="Arial" w:hAnsi="Arial" w:cs="Arial"/>
                <w:color w:val="FF0000"/>
              </w:rPr>
              <w:t>• 35 osob/rok</w:t>
            </w:r>
          </w:p>
        </w:tc>
      </w:tr>
    </w:tbl>
    <w:p w:rsidR="00443A25" w:rsidRDefault="00443A25"/>
    <w:sectPr w:rsidR="00443A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172" w:rsidRDefault="00792172" w:rsidP="00792172">
      <w:r>
        <w:separator/>
      </w:r>
    </w:p>
  </w:endnote>
  <w:endnote w:type="continuationSeparator" w:id="0">
    <w:p w:rsidR="00792172" w:rsidRDefault="00792172" w:rsidP="0079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4046949"/>
      <w:docPartObj>
        <w:docPartGallery w:val="Page Numbers (Bottom of Page)"/>
        <w:docPartUnique/>
      </w:docPartObj>
    </w:sdtPr>
    <w:sdtEndPr/>
    <w:sdtContent>
      <w:p w:rsidR="00792172" w:rsidRDefault="0079217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5D6">
          <w:rPr>
            <w:noProof/>
          </w:rPr>
          <w:t>1</w:t>
        </w:r>
        <w:r>
          <w:fldChar w:fldCharType="end"/>
        </w:r>
      </w:p>
    </w:sdtContent>
  </w:sdt>
  <w:p w:rsidR="00792172" w:rsidRDefault="0079217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172" w:rsidRDefault="00792172" w:rsidP="00792172">
      <w:r>
        <w:separator/>
      </w:r>
    </w:p>
  </w:footnote>
  <w:footnote w:type="continuationSeparator" w:id="0">
    <w:p w:rsidR="00792172" w:rsidRDefault="00792172" w:rsidP="0079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B736C"/>
    <w:multiLevelType w:val="hybridMultilevel"/>
    <w:tmpl w:val="B33ED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D6750"/>
    <w:multiLevelType w:val="hybridMultilevel"/>
    <w:tmpl w:val="563A66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F35F7D"/>
    <w:multiLevelType w:val="hybridMultilevel"/>
    <w:tmpl w:val="56CC6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76F86"/>
    <w:multiLevelType w:val="hybridMultilevel"/>
    <w:tmpl w:val="8A4AD8E4"/>
    <w:lvl w:ilvl="0" w:tplc="55BA16F6">
      <w:start w:val="1"/>
      <w:numFmt w:val="decimal"/>
      <w:lvlText w:val="%1."/>
      <w:lvlJc w:val="left"/>
      <w:pPr>
        <w:tabs>
          <w:tab w:val="num" w:pos="497"/>
        </w:tabs>
        <w:ind w:left="497" w:hanging="360"/>
      </w:pPr>
      <w:rPr>
        <w:rFonts w:cs="Times New Roman"/>
        <w:color w:val="0000FF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6B539B"/>
    <w:multiLevelType w:val="hybridMultilevel"/>
    <w:tmpl w:val="B9AED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082ED2"/>
    <w:multiLevelType w:val="hybridMultilevel"/>
    <w:tmpl w:val="E9B0A2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4670724"/>
    <w:multiLevelType w:val="hybridMultilevel"/>
    <w:tmpl w:val="47B2F2F8"/>
    <w:lvl w:ilvl="0" w:tplc="A49094B4">
      <w:start w:val="1"/>
      <w:numFmt w:val="decimal"/>
      <w:lvlText w:val="%1."/>
      <w:lvlJc w:val="left"/>
      <w:pPr>
        <w:tabs>
          <w:tab w:val="num" w:pos="497"/>
        </w:tabs>
        <w:ind w:left="49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217"/>
        </w:tabs>
        <w:ind w:left="121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37"/>
        </w:tabs>
        <w:ind w:left="193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657"/>
        </w:tabs>
        <w:ind w:left="265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77"/>
        </w:tabs>
        <w:ind w:left="337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97"/>
        </w:tabs>
        <w:ind w:left="4097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17"/>
        </w:tabs>
        <w:ind w:left="481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37"/>
        </w:tabs>
        <w:ind w:left="553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257"/>
        </w:tabs>
        <w:ind w:left="6257" w:hanging="180"/>
      </w:pPr>
    </w:lvl>
  </w:abstractNum>
  <w:abstractNum w:abstractNumId="7">
    <w:nsid w:val="34C5222A"/>
    <w:multiLevelType w:val="hybridMultilevel"/>
    <w:tmpl w:val="EE085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511DD"/>
    <w:multiLevelType w:val="hybridMultilevel"/>
    <w:tmpl w:val="780E4A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FDE6AA0"/>
    <w:multiLevelType w:val="multilevel"/>
    <w:tmpl w:val="82EE58DC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>
    <w:nsid w:val="426601A1"/>
    <w:multiLevelType w:val="hybridMultilevel"/>
    <w:tmpl w:val="3A4851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DCC478F"/>
    <w:multiLevelType w:val="hybridMultilevel"/>
    <w:tmpl w:val="5A06197C"/>
    <w:lvl w:ilvl="0" w:tplc="117ACD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CA4ECC"/>
    <w:multiLevelType w:val="hybridMultilevel"/>
    <w:tmpl w:val="EBC697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BA2359"/>
    <w:multiLevelType w:val="multilevel"/>
    <w:tmpl w:val="ECAE84C6"/>
    <w:lvl w:ilvl="0">
      <w:start w:val="1"/>
      <w:numFmt w:val="decimal"/>
      <w:lvlText w:val="%1."/>
      <w:lvlJc w:val="left"/>
      <w:pPr>
        <w:tabs>
          <w:tab w:val="num" w:pos="497"/>
        </w:tabs>
        <w:ind w:left="497" w:hanging="360"/>
      </w:pPr>
      <w:rPr>
        <w:rFonts w:cs="Arial"/>
      </w:rPr>
    </w:lvl>
    <w:lvl w:ilvl="1">
      <w:start w:val="1"/>
      <w:numFmt w:val="decimal"/>
      <w:isLgl/>
      <w:lvlText w:val="%1.%2"/>
      <w:lvlJc w:val="left"/>
      <w:pPr>
        <w:tabs>
          <w:tab w:val="num" w:pos="497"/>
        </w:tabs>
        <w:ind w:left="497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857"/>
        </w:tabs>
        <w:ind w:left="857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857"/>
        </w:tabs>
        <w:ind w:left="857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857"/>
        </w:tabs>
        <w:ind w:left="857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217"/>
        </w:tabs>
        <w:ind w:left="1217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217"/>
        </w:tabs>
        <w:ind w:left="1217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577"/>
        </w:tabs>
        <w:ind w:left="1577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577"/>
        </w:tabs>
        <w:ind w:left="1577" w:hanging="1440"/>
      </w:pPr>
    </w:lvl>
  </w:abstractNum>
  <w:abstractNum w:abstractNumId="14">
    <w:nsid w:val="72E16DC6"/>
    <w:multiLevelType w:val="hybridMultilevel"/>
    <w:tmpl w:val="21B8F0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051615"/>
    <w:multiLevelType w:val="hybridMultilevel"/>
    <w:tmpl w:val="FA94A640"/>
    <w:lvl w:ilvl="0" w:tplc="5F6E5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"/>
  </w:num>
  <w:num w:numId="7">
    <w:abstractNumId w:val="0"/>
  </w:num>
  <w:num w:numId="8">
    <w:abstractNumId w:val="8"/>
  </w:num>
  <w:num w:numId="9">
    <w:abstractNumId w:val="5"/>
  </w:num>
  <w:num w:numId="10">
    <w:abstractNumId w:val="1"/>
  </w:num>
  <w:num w:numId="11">
    <w:abstractNumId w:val="2"/>
  </w:num>
  <w:num w:numId="12">
    <w:abstractNumId w:val="11"/>
  </w:num>
  <w:num w:numId="13">
    <w:abstractNumId w:val="10"/>
  </w:num>
  <w:num w:numId="14">
    <w:abstractNumId w:val="15"/>
  </w:num>
  <w:num w:numId="15">
    <w:abstractNumId w:val="4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31"/>
    <w:rsid w:val="0007796F"/>
    <w:rsid w:val="000D66D8"/>
    <w:rsid w:val="002E278D"/>
    <w:rsid w:val="00443A25"/>
    <w:rsid w:val="004C23DD"/>
    <w:rsid w:val="005575D6"/>
    <w:rsid w:val="00567D31"/>
    <w:rsid w:val="00791031"/>
    <w:rsid w:val="00792172"/>
    <w:rsid w:val="00914242"/>
    <w:rsid w:val="00A5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7D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67D3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21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217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7921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217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21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172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7D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67D3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21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217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7921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217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21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17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1315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9059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Prachniarová Dagmar</dc:creator>
  <cp:lastModifiedBy>Prachniarová Dagmar</cp:lastModifiedBy>
  <cp:revision>4</cp:revision>
  <cp:lastPrinted>2023-12-08T09:55:00Z</cp:lastPrinted>
  <dcterms:created xsi:type="dcterms:W3CDTF">2023-12-08T09:40:00Z</dcterms:created>
  <dcterms:modified xsi:type="dcterms:W3CDTF">2023-12-08T10:09:00Z</dcterms:modified>
</cp:coreProperties>
</file>