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F32" w:rsidRDefault="00F84F32" w:rsidP="00407000">
      <w:pPr>
        <w:jc w:val="center"/>
        <w:rPr>
          <w:b/>
        </w:rPr>
      </w:pPr>
    </w:p>
    <w:p w:rsidR="00F84F32" w:rsidRDefault="00F84F32" w:rsidP="00407000">
      <w:pPr>
        <w:jc w:val="center"/>
        <w:rPr>
          <w:b/>
        </w:rPr>
      </w:pPr>
    </w:p>
    <w:p w:rsidR="00F84F32" w:rsidRDefault="00F84F32" w:rsidP="00407000">
      <w:pPr>
        <w:jc w:val="center"/>
        <w:rPr>
          <w:b/>
        </w:rPr>
      </w:pPr>
    </w:p>
    <w:p w:rsidR="00F84F32" w:rsidRDefault="00F84F32" w:rsidP="00407000">
      <w:pPr>
        <w:jc w:val="center"/>
        <w:rPr>
          <w:b/>
        </w:rPr>
      </w:pPr>
    </w:p>
    <w:p w:rsidR="00F84F32" w:rsidRDefault="00F84F32" w:rsidP="00407000">
      <w:pPr>
        <w:jc w:val="center"/>
        <w:rPr>
          <w:b/>
        </w:rPr>
      </w:pPr>
    </w:p>
    <w:p w:rsidR="00F84F32" w:rsidRPr="00407000" w:rsidRDefault="00A70F90" w:rsidP="00407000">
      <w:pPr>
        <w:jc w:val="center"/>
        <w:rPr>
          <w:b/>
        </w:rPr>
      </w:pPr>
      <w:r>
        <w:rPr>
          <w:noProof/>
        </w:rPr>
        <w:pict>
          <v:rect id="Obdélník 194" o:spid="_x0000_s1026" style="position:absolute;left:0;text-align:left;margin-left:-17.95pt;margin-top:0;width:494.95pt;height:98.9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" fillcolor="#4f81bd" stroked="f" strokeweight="2pt"/>
        </w:pict>
      </w:r>
    </w:p>
    <w:p w:rsidR="00F84F32" w:rsidRPr="00407000" w:rsidRDefault="00F84F32" w:rsidP="00407000">
      <w:pPr>
        <w:jc w:val="center"/>
        <w:rPr>
          <w:b/>
        </w:rPr>
      </w:pPr>
    </w:p>
    <w:p w:rsidR="00F84F32" w:rsidRPr="00407000" w:rsidRDefault="00F84F32" w:rsidP="00407000">
      <w:pPr>
        <w:jc w:val="center"/>
        <w:rPr>
          <w:b/>
        </w:rPr>
      </w:pPr>
    </w:p>
    <w:p w:rsidR="00F84F32" w:rsidRPr="00407000" w:rsidRDefault="00F84F32" w:rsidP="00407000">
      <w:pPr>
        <w:jc w:val="center"/>
        <w:rPr>
          <w:b/>
        </w:rPr>
      </w:pPr>
    </w:p>
    <w:p w:rsidR="00F84F32" w:rsidRPr="00407000" w:rsidRDefault="00F84F32" w:rsidP="00407000">
      <w:pPr>
        <w:jc w:val="center"/>
        <w:rPr>
          <w:b/>
        </w:rPr>
      </w:pPr>
    </w:p>
    <w:p w:rsidR="00F84F32" w:rsidRPr="00407000" w:rsidRDefault="00F84F32" w:rsidP="00407000">
      <w:pPr>
        <w:jc w:val="center"/>
        <w:rPr>
          <w:b/>
        </w:rPr>
      </w:pPr>
    </w:p>
    <w:p w:rsidR="00F84F32" w:rsidRPr="00407000" w:rsidRDefault="00F84F32" w:rsidP="00407000">
      <w:pPr>
        <w:jc w:val="center"/>
        <w:rPr>
          <w:b/>
        </w:rPr>
      </w:pPr>
    </w:p>
    <w:p w:rsidR="00F84F32" w:rsidRPr="00407000" w:rsidRDefault="00F84F32" w:rsidP="00407000">
      <w:pPr>
        <w:jc w:val="center"/>
        <w:rPr>
          <w:b/>
        </w:rPr>
      </w:pPr>
    </w:p>
    <w:p w:rsidR="00F84F32" w:rsidRPr="00407000" w:rsidRDefault="00F84F32" w:rsidP="00407000">
      <w:pPr>
        <w:jc w:val="center"/>
        <w:rPr>
          <w:b/>
          <w:color w:val="FF0000"/>
          <w:sz w:val="56"/>
          <w:szCs w:val="56"/>
        </w:rPr>
      </w:pPr>
      <w:bookmarkStart w:id="0" w:name="_Toc497137869"/>
      <w:bookmarkStart w:id="1" w:name="_Toc500853830"/>
      <w:bookmarkStart w:id="2" w:name="_Toc506197330"/>
      <w:bookmarkStart w:id="3" w:name="_Toc7081065"/>
      <w:bookmarkStart w:id="4" w:name="_Toc13730463"/>
      <w:bookmarkStart w:id="5" w:name="_Toc13730686"/>
      <w:r w:rsidRPr="00407000">
        <w:rPr>
          <w:b/>
          <w:color w:val="FF0000"/>
          <w:sz w:val="56"/>
          <w:szCs w:val="56"/>
        </w:rPr>
        <w:t>Zpráva o naplňování</w:t>
      </w:r>
      <w:bookmarkEnd w:id="0"/>
      <w:bookmarkEnd w:id="1"/>
      <w:bookmarkEnd w:id="2"/>
      <w:bookmarkEnd w:id="3"/>
      <w:r w:rsidRPr="00407000">
        <w:rPr>
          <w:b/>
          <w:color w:val="FF0000"/>
          <w:sz w:val="56"/>
          <w:szCs w:val="56"/>
        </w:rPr>
        <w:t xml:space="preserve"> Strategického plánu rozvoje města Olomouce za rok 20</w:t>
      </w:r>
      <w:bookmarkEnd w:id="4"/>
      <w:bookmarkEnd w:id="5"/>
      <w:r>
        <w:rPr>
          <w:b/>
          <w:color w:val="FF0000"/>
          <w:sz w:val="56"/>
          <w:szCs w:val="56"/>
        </w:rPr>
        <w:t>20</w:t>
      </w:r>
    </w:p>
    <w:p w:rsidR="00F84F32" w:rsidRPr="00407000" w:rsidRDefault="00F84F32" w:rsidP="00407000"/>
    <w:p w:rsidR="00F84F32" w:rsidRPr="00407000" w:rsidRDefault="00F84F32" w:rsidP="00407000">
      <w:pPr>
        <w:jc w:val="center"/>
        <w:rPr>
          <w:b/>
        </w:rPr>
      </w:pPr>
    </w:p>
    <w:p w:rsidR="00F84F32" w:rsidRPr="00407000" w:rsidRDefault="00F84F32" w:rsidP="00407000">
      <w:pPr>
        <w:jc w:val="center"/>
        <w:rPr>
          <w:b/>
        </w:rPr>
      </w:pPr>
    </w:p>
    <w:p w:rsidR="00F84F32" w:rsidRPr="00407000" w:rsidRDefault="00A70F90" w:rsidP="00407000">
      <w:pPr>
        <w:ind w:firstLine="0"/>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OLOMOUC" style="width:427.5pt;height:296.5pt;visibility:visible">
            <v:imagedata r:id="rId8" o:title=""/>
          </v:shape>
        </w:pict>
      </w:r>
    </w:p>
    <w:p w:rsidR="00F84F32" w:rsidRPr="00407000" w:rsidRDefault="00F84F32" w:rsidP="00407000">
      <w:pPr>
        <w:autoSpaceDE w:val="0"/>
        <w:autoSpaceDN w:val="0"/>
        <w:adjustRightInd w:val="0"/>
        <w:ind w:firstLine="0"/>
        <w:jc w:val="center"/>
        <w:rPr>
          <w:b/>
        </w:rPr>
      </w:pPr>
    </w:p>
    <w:p w:rsidR="00F84F32" w:rsidRPr="00407000" w:rsidRDefault="00F84F32" w:rsidP="00407000">
      <w:pPr>
        <w:autoSpaceDE w:val="0"/>
        <w:autoSpaceDN w:val="0"/>
        <w:adjustRightInd w:val="0"/>
        <w:ind w:firstLine="0"/>
        <w:jc w:val="center"/>
      </w:pPr>
    </w:p>
    <w:p w:rsidR="00F84F32" w:rsidRPr="00407000" w:rsidRDefault="00F84F32" w:rsidP="00407000">
      <w:pPr>
        <w:ind w:firstLine="0"/>
        <w:jc w:val="center"/>
        <w:sectPr w:rsidR="00F84F32" w:rsidRPr="00407000" w:rsidSect="00D15772">
          <w:footerReference w:type="even" r:id="rId9"/>
          <w:footerReference w:type="default" r:id="rId10"/>
          <w:headerReference w:type="first" r:id="rId11"/>
          <w:pgSz w:w="11906" w:h="16838" w:code="9"/>
          <w:pgMar w:top="1985" w:right="1418" w:bottom="1701" w:left="1418" w:header="709" w:footer="709" w:gutter="0"/>
          <w:pgNumType w:start="2"/>
          <w:cols w:space="708"/>
          <w:titlePg/>
          <w:docGrid w:linePitch="360"/>
        </w:sectPr>
      </w:pPr>
    </w:p>
    <w:p w:rsidR="00F84F32" w:rsidRPr="00407000" w:rsidRDefault="00F84F32" w:rsidP="00407000">
      <w:pPr>
        <w:ind w:firstLine="0"/>
        <w:jc w:val="center"/>
        <w:rPr>
          <w:b/>
        </w:rPr>
      </w:pPr>
      <w:r w:rsidRPr="00407000">
        <w:lastRenderedPageBreak/>
        <w:br w:type="page"/>
      </w:r>
      <w:r w:rsidRPr="00407000">
        <w:rPr>
          <w:b/>
        </w:rPr>
        <w:lastRenderedPageBreak/>
        <w:t>OBSAH</w:t>
      </w:r>
    </w:p>
    <w:p w:rsidR="00F84F32" w:rsidRDefault="00F84F32" w:rsidP="00407000">
      <w:pPr>
        <w:ind w:firstLine="0"/>
        <w:jc w:val="center"/>
      </w:pPr>
    </w:p>
    <w:p w:rsidR="00F84F32" w:rsidRPr="00407000" w:rsidRDefault="00F84F32" w:rsidP="00407000">
      <w:pPr>
        <w:ind w:firstLine="0"/>
        <w:jc w:val="center"/>
      </w:pPr>
    </w:p>
    <w:p w:rsidR="00F84F32" w:rsidRDefault="00F84F32" w:rsidP="00407000">
      <w:pPr>
        <w:pStyle w:val="Obsah1"/>
      </w:pPr>
      <w:r w:rsidRPr="00407000">
        <w:rPr>
          <w:rFonts w:cs="Times New Roman"/>
        </w:rPr>
        <w:fldChar w:fldCharType="begin"/>
      </w:r>
      <w:r w:rsidRPr="00407000">
        <w:rPr>
          <w:rFonts w:cs="Times New Roman"/>
        </w:rPr>
        <w:instrText xml:space="preserve"> TOC \o "1-3" \h \z \u </w:instrText>
      </w:r>
      <w:r w:rsidRPr="00407000">
        <w:rPr>
          <w:rFonts w:cs="Times New Roman"/>
        </w:rPr>
        <w:fldChar w:fldCharType="separate"/>
      </w:r>
      <w:hyperlink w:anchor="_Toc45699127" w:history="1">
        <w:r w:rsidRPr="003D2951">
          <w:rPr>
            <w:rStyle w:val="Hypertextovodkaz"/>
            <w:rFonts w:cs="Arial"/>
            <w:color w:val="auto"/>
            <w:u w:val="none"/>
          </w:rPr>
          <w:t>1.</w:t>
        </w:r>
        <w:r>
          <w:tab/>
        </w:r>
        <w:r w:rsidRPr="003D2951">
          <w:rPr>
            <w:rStyle w:val="Hypertextovodkaz"/>
            <w:rFonts w:cs="Arial"/>
            <w:color w:val="auto"/>
            <w:u w:val="none"/>
          </w:rPr>
          <w:t>Úvod</w:t>
        </w:r>
        <w:r>
          <w:rPr>
            <w:rStyle w:val="Hypertextovodkaz"/>
            <w:rFonts w:cs="Arial"/>
            <w:color w:val="auto"/>
            <w:u w:val="none"/>
          </w:rPr>
          <w:t>..</w:t>
        </w:r>
        <w:r>
          <w:rPr>
            <w:webHidden/>
          </w:rPr>
          <w:tab/>
        </w:r>
        <w:r>
          <w:rPr>
            <w:webHidden/>
          </w:rPr>
          <w:fldChar w:fldCharType="begin"/>
        </w:r>
        <w:r>
          <w:rPr>
            <w:webHidden/>
          </w:rPr>
          <w:instrText xml:space="preserve"> PAGEREF _Toc45699127 \h </w:instrText>
        </w:r>
        <w:r>
          <w:rPr>
            <w:webHidden/>
          </w:rPr>
        </w:r>
        <w:r>
          <w:rPr>
            <w:webHidden/>
          </w:rPr>
          <w:fldChar w:fldCharType="separate"/>
        </w:r>
        <w:r>
          <w:rPr>
            <w:webHidden/>
          </w:rPr>
          <w:t>3</w:t>
        </w:r>
        <w:r>
          <w:rPr>
            <w:webHidden/>
          </w:rPr>
          <w:fldChar w:fldCharType="end"/>
        </w:r>
      </w:hyperlink>
    </w:p>
    <w:p w:rsidR="00F84F32" w:rsidRDefault="00A70F90" w:rsidP="00407000">
      <w:pPr>
        <w:pStyle w:val="Obsah1"/>
        <w:rPr>
          <w:rFonts w:cs="Times New Roman"/>
          <w:kern w:val="0"/>
        </w:rPr>
      </w:pPr>
      <w:hyperlink w:anchor="_Toc45699128" w:history="1">
        <w:r w:rsidR="00F84F32" w:rsidRPr="003D2951">
          <w:rPr>
            <w:rStyle w:val="Hypertextovodkaz"/>
            <w:rFonts w:cs="Arial"/>
          </w:rPr>
          <w:t>2.</w:t>
        </w:r>
        <w:r w:rsidR="00F84F32">
          <w:rPr>
            <w:rFonts w:cs="Times New Roman"/>
            <w:kern w:val="0"/>
          </w:rPr>
          <w:tab/>
        </w:r>
        <w:r w:rsidR="00F84F32" w:rsidRPr="003D2951">
          <w:rPr>
            <w:rStyle w:val="Hypertextovodkaz"/>
            <w:rFonts w:cs="Arial"/>
          </w:rPr>
          <w:t>Naplňování Strategického plánu rozvoje města Olomouce z pohledu monitorovacích indikátorů</w:t>
        </w:r>
        <w:r w:rsidR="00F84F32">
          <w:rPr>
            <w:webHidden/>
          </w:rPr>
          <w:tab/>
        </w:r>
        <w:r w:rsidR="00F84F32">
          <w:rPr>
            <w:webHidden/>
          </w:rPr>
          <w:fldChar w:fldCharType="begin"/>
        </w:r>
        <w:r w:rsidR="00F84F32">
          <w:rPr>
            <w:webHidden/>
          </w:rPr>
          <w:instrText xml:space="preserve"> PAGEREF _Toc45699128 \h </w:instrText>
        </w:r>
        <w:r w:rsidR="00F84F32">
          <w:rPr>
            <w:webHidden/>
          </w:rPr>
        </w:r>
        <w:r w:rsidR="00F84F32">
          <w:rPr>
            <w:webHidden/>
          </w:rPr>
          <w:fldChar w:fldCharType="separate"/>
        </w:r>
        <w:r w:rsidR="00F84F32">
          <w:rPr>
            <w:webHidden/>
          </w:rPr>
          <w:t>5</w:t>
        </w:r>
        <w:r w:rsidR="00F84F32">
          <w:rPr>
            <w:webHidden/>
          </w:rPr>
          <w:fldChar w:fldCharType="end"/>
        </w:r>
      </w:hyperlink>
    </w:p>
    <w:p w:rsidR="00F84F32" w:rsidRDefault="00A70F90" w:rsidP="00407000">
      <w:pPr>
        <w:pStyle w:val="Obsah1"/>
        <w:rPr>
          <w:rFonts w:cs="Times New Roman"/>
          <w:kern w:val="0"/>
        </w:rPr>
      </w:pPr>
      <w:hyperlink w:anchor="_Toc45699129" w:history="1">
        <w:r w:rsidR="00F84F32" w:rsidRPr="003D2951">
          <w:rPr>
            <w:rStyle w:val="Hypertextovodkaz"/>
            <w:rFonts w:cs="Arial"/>
          </w:rPr>
          <w:t>3.</w:t>
        </w:r>
        <w:r w:rsidR="00F84F32">
          <w:rPr>
            <w:rFonts w:cs="Times New Roman"/>
            <w:kern w:val="0"/>
          </w:rPr>
          <w:tab/>
        </w:r>
        <w:r w:rsidR="00F84F32" w:rsidRPr="003D2951">
          <w:rPr>
            <w:rStyle w:val="Hypertextovodkaz"/>
            <w:rFonts w:cs="Arial"/>
          </w:rPr>
          <w:t>Vyhodnocení pokroku při plnění priorit, cílů a opatření</w:t>
        </w:r>
        <w:r w:rsidR="00F84F32">
          <w:rPr>
            <w:webHidden/>
          </w:rPr>
          <w:tab/>
        </w:r>
        <w:r w:rsidR="00F84F32">
          <w:rPr>
            <w:webHidden/>
          </w:rPr>
          <w:fldChar w:fldCharType="begin"/>
        </w:r>
        <w:r w:rsidR="00F84F32">
          <w:rPr>
            <w:webHidden/>
          </w:rPr>
          <w:instrText xml:space="preserve"> PAGEREF _Toc45699129 \h </w:instrText>
        </w:r>
        <w:r w:rsidR="00F84F32">
          <w:rPr>
            <w:webHidden/>
          </w:rPr>
        </w:r>
        <w:r w:rsidR="00F84F32">
          <w:rPr>
            <w:webHidden/>
          </w:rPr>
          <w:fldChar w:fldCharType="separate"/>
        </w:r>
        <w:r w:rsidR="00F84F32">
          <w:rPr>
            <w:webHidden/>
          </w:rPr>
          <w:t>9</w:t>
        </w:r>
        <w:r w:rsidR="00F84F32">
          <w:rPr>
            <w:webHidden/>
          </w:rPr>
          <w:fldChar w:fldCharType="end"/>
        </w:r>
      </w:hyperlink>
    </w:p>
    <w:p w:rsidR="00F84F32" w:rsidRDefault="00A70F90" w:rsidP="00407000">
      <w:pPr>
        <w:pStyle w:val="StylStylObsah1Vlevo074cmVlevo095cmPedsazen"/>
        <w:rPr>
          <w:bCs/>
          <w:kern w:val="0"/>
        </w:rPr>
      </w:pPr>
      <w:hyperlink w:anchor="_Toc45699130" w:history="1">
        <w:r w:rsidR="00F84F32" w:rsidRPr="003D2951">
          <w:rPr>
            <w:rStyle w:val="Hypertextovodkaz"/>
          </w:rPr>
          <w:t>I.</w:t>
        </w:r>
        <w:r w:rsidR="00F84F32">
          <w:rPr>
            <w:bCs/>
            <w:kern w:val="0"/>
          </w:rPr>
          <w:tab/>
        </w:r>
        <w:r w:rsidR="00F84F32" w:rsidRPr="003D2951">
          <w:rPr>
            <w:rStyle w:val="Hypertextovodkaz"/>
          </w:rPr>
          <w:t>Pilíř 1: Konkurenceschopná a kreativní Olomouc</w:t>
        </w:r>
        <w:r w:rsidR="00F84F32">
          <w:rPr>
            <w:webHidden/>
          </w:rPr>
          <w:tab/>
        </w:r>
        <w:r w:rsidR="00F84F32">
          <w:rPr>
            <w:webHidden/>
          </w:rPr>
          <w:fldChar w:fldCharType="begin"/>
        </w:r>
        <w:r w:rsidR="00F84F32">
          <w:rPr>
            <w:webHidden/>
          </w:rPr>
          <w:instrText xml:space="preserve"> PAGEREF _Toc45699130 \h </w:instrText>
        </w:r>
        <w:r w:rsidR="00F84F32">
          <w:rPr>
            <w:webHidden/>
          </w:rPr>
        </w:r>
        <w:r w:rsidR="00F84F32">
          <w:rPr>
            <w:webHidden/>
          </w:rPr>
          <w:fldChar w:fldCharType="separate"/>
        </w:r>
        <w:r w:rsidR="00F84F32">
          <w:rPr>
            <w:webHidden/>
          </w:rPr>
          <w:t>9</w:t>
        </w:r>
        <w:r w:rsidR="00F84F32">
          <w:rPr>
            <w:webHidden/>
          </w:rPr>
          <w:fldChar w:fldCharType="end"/>
        </w:r>
      </w:hyperlink>
    </w:p>
    <w:p w:rsidR="00F84F32" w:rsidRDefault="00A70F90" w:rsidP="00407000">
      <w:pPr>
        <w:pStyle w:val="StylStylObsah1Vlevo074cmVlevo095cmPedsazen"/>
        <w:rPr>
          <w:bCs/>
          <w:kern w:val="0"/>
        </w:rPr>
      </w:pPr>
      <w:hyperlink w:anchor="_Toc45699131" w:history="1">
        <w:r w:rsidR="00F84F32" w:rsidRPr="003D2951">
          <w:rPr>
            <w:rStyle w:val="Hypertextovodkaz"/>
          </w:rPr>
          <w:t>II.</w:t>
        </w:r>
        <w:r w:rsidR="00F84F32">
          <w:rPr>
            <w:bCs/>
            <w:kern w:val="0"/>
          </w:rPr>
          <w:tab/>
        </w:r>
        <w:r w:rsidR="00F84F32" w:rsidRPr="003D2951">
          <w:rPr>
            <w:rStyle w:val="Hypertextovodkaz"/>
          </w:rPr>
          <w:t>Pilíř 2: Olomouc – perla Evropy</w:t>
        </w:r>
        <w:r w:rsidR="00F84F32">
          <w:rPr>
            <w:webHidden/>
          </w:rPr>
          <w:tab/>
        </w:r>
        <w:r w:rsidR="00F84F32">
          <w:rPr>
            <w:webHidden/>
          </w:rPr>
          <w:fldChar w:fldCharType="begin"/>
        </w:r>
        <w:r w:rsidR="00F84F32">
          <w:rPr>
            <w:webHidden/>
          </w:rPr>
          <w:instrText xml:space="preserve"> PAGEREF _Toc45699131 \h </w:instrText>
        </w:r>
        <w:r w:rsidR="00F84F32">
          <w:rPr>
            <w:webHidden/>
          </w:rPr>
        </w:r>
        <w:r w:rsidR="00F84F32">
          <w:rPr>
            <w:webHidden/>
          </w:rPr>
          <w:fldChar w:fldCharType="separate"/>
        </w:r>
        <w:r w:rsidR="00F84F32">
          <w:rPr>
            <w:webHidden/>
          </w:rPr>
          <w:t>18</w:t>
        </w:r>
        <w:r w:rsidR="00F84F32">
          <w:rPr>
            <w:webHidden/>
          </w:rPr>
          <w:fldChar w:fldCharType="end"/>
        </w:r>
      </w:hyperlink>
    </w:p>
    <w:p w:rsidR="00F84F32" w:rsidRDefault="00A70F90" w:rsidP="00407000">
      <w:pPr>
        <w:pStyle w:val="StylStylObsah1Vlevo074cmVlevo095cmPedsazen"/>
        <w:rPr>
          <w:bCs/>
          <w:kern w:val="0"/>
        </w:rPr>
      </w:pPr>
      <w:hyperlink w:anchor="_Toc45699132" w:history="1">
        <w:r w:rsidR="00F84F32" w:rsidRPr="003D2951">
          <w:rPr>
            <w:rStyle w:val="Hypertextovodkaz"/>
          </w:rPr>
          <w:t>III.</w:t>
        </w:r>
        <w:r w:rsidR="00F84F32">
          <w:rPr>
            <w:bCs/>
            <w:kern w:val="0"/>
          </w:rPr>
          <w:tab/>
        </w:r>
        <w:r w:rsidR="00F84F32" w:rsidRPr="003D2951">
          <w:rPr>
            <w:rStyle w:val="Hypertextovodkaz"/>
          </w:rPr>
          <w:t>Pilíř 3: Udržitelná Olomouc</w:t>
        </w:r>
        <w:r w:rsidR="00F84F32">
          <w:rPr>
            <w:webHidden/>
          </w:rPr>
          <w:tab/>
        </w:r>
        <w:r w:rsidR="00F84F32">
          <w:rPr>
            <w:webHidden/>
          </w:rPr>
          <w:fldChar w:fldCharType="begin"/>
        </w:r>
        <w:r w:rsidR="00F84F32">
          <w:rPr>
            <w:webHidden/>
          </w:rPr>
          <w:instrText xml:space="preserve"> PAGEREF _Toc45699132 \h </w:instrText>
        </w:r>
        <w:r w:rsidR="00F84F32">
          <w:rPr>
            <w:webHidden/>
          </w:rPr>
        </w:r>
        <w:r w:rsidR="00F84F32">
          <w:rPr>
            <w:webHidden/>
          </w:rPr>
          <w:fldChar w:fldCharType="separate"/>
        </w:r>
        <w:r w:rsidR="00F84F32">
          <w:rPr>
            <w:webHidden/>
          </w:rPr>
          <w:t>23</w:t>
        </w:r>
        <w:r w:rsidR="00F84F32">
          <w:rPr>
            <w:webHidden/>
          </w:rPr>
          <w:fldChar w:fldCharType="end"/>
        </w:r>
      </w:hyperlink>
    </w:p>
    <w:p w:rsidR="00F84F32" w:rsidRDefault="00A70F90" w:rsidP="00407000">
      <w:pPr>
        <w:pStyle w:val="StylStylObsah1Vlevo074cmVlevo095cmPedsazen"/>
        <w:rPr>
          <w:bCs/>
          <w:kern w:val="0"/>
        </w:rPr>
      </w:pPr>
      <w:hyperlink w:anchor="_Toc45699133" w:history="1">
        <w:r w:rsidR="00F84F32" w:rsidRPr="003D2951">
          <w:rPr>
            <w:rStyle w:val="Hypertextovodkaz"/>
          </w:rPr>
          <w:t>IV.</w:t>
        </w:r>
        <w:r w:rsidR="00F84F32">
          <w:rPr>
            <w:bCs/>
            <w:kern w:val="0"/>
          </w:rPr>
          <w:tab/>
        </w:r>
        <w:r w:rsidR="00F84F32" w:rsidRPr="003D2951">
          <w:rPr>
            <w:rStyle w:val="Hypertextovodkaz"/>
          </w:rPr>
          <w:t>Pilíř 4: Olomouc – funkční centrum regionu</w:t>
        </w:r>
        <w:r w:rsidR="00F84F32">
          <w:rPr>
            <w:webHidden/>
          </w:rPr>
          <w:tab/>
        </w:r>
        <w:r w:rsidR="00F84F32">
          <w:rPr>
            <w:webHidden/>
          </w:rPr>
          <w:fldChar w:fldCharType="begin"/>
        </w:r>
        <w:r w:rsidR="00F84F32">
          <w:rPr>
            <w:webHidden/>
          </w:rPr>
          <w:instrText xml:space="preserve"> PAGEREF _Toc45699133 \h </w:instrText>
        </w:r>
        <w:r w:rsidR="00F84F32">
          <w:rPr>
            <w:webHidden/>
          </w:rPr>
        </w:r>
        <w:r w:rsidR="00F84F32">
          <w:rPr>
            <w:webHidden/>
          </w:rPr>
          <w:fldChar w:fldCharType="separate"/>
        </w:r>
        <w:r w:rsidR="00F84F32">
          <w:rPr>
            <w:webHidden/>
          </w:rPr>
          <w:t>32</w:t>
        </w:r>
        <w:r w:rsidR="00F84F32">
          <w:rPr>
            <w:webHidden/>
          </w:rPr>
          <w:fldChar w:fldCharType="end"/>
        </w:r>
      </w:hyperlink>
    </w:p>
    <w:p w:rsidR="00F84F32" w:rsidRDefault="00A70F90" w:rsidP="00407000">
      <w:pPr>
        <w:pStyle w:val="Obsah1"/>
        <w:rPr>
          <w:rFonts w:cs="Times New Roman"/>
          <w:kern w:val="0"/>
        </w:rPr>
      </w:pPr>
      <w:hyperlink w:anchor="_Toc45699134" w:history="1">
        <w:r w:rsidR="00F84F32" w:rsidRPr="003D2951">
          <w:rPr>
            <w:rStyle w:val="Hypertextovodkaz"/>
            <w:rFonts w:cs="Arial"/>
          </w:rPr>
          <w:t>4.</w:t>
        </w:r>
        <w:r w:rsidR="00F84F32">
          <w:rPr>
            <w:rFonts w:cs="Times New Roman"/>
            <w:kern w:val="0"/>
          </w:rPr>
          <w:tab/>
        </w:r>
        <w:r w:rsidR="00F84F32" w:rsidRPr="003D2951">
          <w:rPr>
            <w:rStyle w:val="Hypertextovodkaz"/>
            <w:rFonts w:cs="Arial"/>
          </w:rPr>
          <w:t>Závěr</w:t>
        </w:r>
        <w:r w:rsidR="00F84F32">
          <w:rPr>
            <w:rStyle w:val="Hypertextovodkaz"/>
            <w:rFonts w:cs="Arial"/>
          </w:rPr>
          <w:t>.</w:t>
        </w:r>
        <w:r w:rsidR="00F84F32">
          <w:rPr>
            <w:webHidden/>
          </w:rPr>
          <w:tab/>
        </w:r>
        <w:r w:rsidR="00F84F32">
          <w:rPr>
            <w:webHidden/>
          </w:rPr>
          <w:fldChar w:fldCharType="begin"/>
        </w:r>
        <w:r w:rsidR="00F84F32">
          <w:rPr>
            <w:webHidden/>
          </w:rPr>
          <w:instrText xml:space="preserve"> PAGEREF _Toc45699134 \h </w:instrText>
        </w:r>
        <w:r w:rsidR="00F84F32">
          <w:rPr>
            <w:webHidden/>
          </w:rPr>
        </w:r>
        <w:r w:rsidR="00F84F32">
          <w:rPr>
            <w:webHidden/>
          </w:rPr>
          <w:fldChar w:fldCharType="separate"/>
        </w:r>
        <w:r w:rsidR="00F84F32">
          <w:rPr>
            <w:webHidden/>
          </w:rPr>
          <w:t>38</w:t>
        </w:r>
        <w:r w:rsidR="00F84F32">
          <w:rPr>
            <w:webHidden/>
          </w:rPr>
          <w:fldChar w:fldCharType="end"/>
        </w:r>
      </w:hyperlink>
    </w:p>
    <w:p w:rsidR="00F84F32" w:rsidRDefault="00A70F90" w:rsidP="00407000">
      <w:pPr>
        <w:pStyle w:val="Obsah1"/>
        <w:rPr>
          <w:rFonts w:cs="Times New Roman"/>
          <w:kern w:val="0"/>
        </w:rPr>
      </w:pPr>
      <w:hyperlink w:anchor="_Toc45699135" w:history="1">
        <w:r w:rsidR="00F84F32" w:rsidRPr="003D2951">
          <w:rPr>
            <w:rStyle w:val="Hypertextovodkaz"/>
            <w:rFonts w:cs="Arial"/>
          </w:rPr>
          <w:t>5.</w:t>
        </w:r>
        <w:r w:rsidR="00F84F32">
          <w:rPr>
            <w:rFonts w:cs="Times New Roman"/>
            <w:kern w:val="0"/>
          </w:rPr>
          <w:tab/>
        </w:r>
        <w:r w:rsidR="00F84F32" w:rsidRPr="003D2951">
          <w:rPr>
            <w:rStyle w:val="Hypertextovodkaz"/>
            <w:rFonts w:cs="Arial"/>
          </w:rPr>
          <w:t>Zkratky a vysvětlivky</w:t>
        </w:r>
        <w:r w:rsidR="00F84F32">
          <w:rPr>
            <w:webHidden/>
          </w:rPr>
          <w:tab/>
        </w:r>
        <w:r w:rsidR="00F84F32">
          <w:rPr>
            <w:webHidden/>
          </w:rPr>
          <w:fldChar w:fldCharType="begin"/>
        </w:r>
        <w:r w:rsidR="00F84F32">
          <w:rPr>
            <w:webHidden/>
          </w:rPr>
          <w:instrText xml:space="preserve"> PAGEREF _Toc45699135 \h </w:instrText>
        </w:r>
        <w:r w:rsidR="00F84F32">
          <w:rPr>
            <w:webHidden/>
          </w:rPr>
        </w:r>
        <w:r w:rsidR="00F84F32">
          <w:rPr>
            <w:webHidden/>
          </w:rPr>
          <w:fldChar w:fldCharType="separate"/>
        </w:r>
        <w:r w:rsidR="00F84F32">
          <w:rPr>
            <w:webHidden/>
          </w:rPr>
          <w:t>39</w:t>
        </w:r>
        <w:r w:rsidR="00F84F32">
          <w:rPr>
            <w:webHidden/>
          </w:rPr>
          <w:fldChar w:fldCharType="end"/>
        </w:r>
      </w:hyperlink>
    </w:p>
    <w:p w:rsidR="00F84F32" w:rsidRPr="00407000" w:rsidRDefault="00F84F32" w:rsidP="00407000">
      <w:pPr>
        <w:rPr>
          <w:b/>
          <w:bCs/>
        </w:rPr>
      </w:pPr>
      <w:r w:rsidRPr="00407000">
        <w:fldChar w:fldCharType="end"/>
      </w:r>
    </w:p>
    <w:p w:rsidR="00F84F32" w:rsidRPr="00407000" w:rsidRDefault="00F84F32" w:rsidP="00407000">
      <w:pPr>
        <w:sectPr w:rsidR="00F84F32" w:rsidRPr="00407000" w:rsidSect="00E80C4F">
          <w:headerReference w:type="first" r:id="rId12"/>
          <w:type w:val="continuous"/>
          <w:pgSz w:w="11906" w:h="16838" w:code="9"/>
          <w:pgMar w:top="1985" w:right="1418" w:bottom="1701" w:left="1418" w:header="709" w:footer="709" w:gutter="0"/>
          <w:pgNumType w:start="1"/>
          <w:cols w:space="708"/>
          <w:titlePg/>
          <w:docGrid w:linePitch="360"/>
        </w:sectPr>
      </w:pPr>
    </w:p>
    <w:p w:rsidR="00F84F32" w:rsidRPr="00407000" w:rsidRDefault="00F84F32" w:rsidP="00407000">
      <w:pPr>
        <w:pStyle w:val="StylNadpis1Ped0bZa0b"/>
        <w:tabs>
          <w:tab w:val="clear" w:pos="-507"/>
          <w:tab w:val="num" w:pos="567"/>
        </w:tabs>
        <w:ind w:left="567" w:hanging="567"/>
      </w:pPr>
      <w:bookmarkStart w:id="6" w:name="_Toc15637081"/>
      <w:bookmarkStart w:id="7" w:name="_Toc45699127"/>
      <w:r w:rsidRPr="00407000">
        <w:lastRenderedPageBreak/>
        <w:t>Úvod</w:t>
      </w:r>
      <w:bookmarkEnd w:id="6"/>
      <w:bookmarkEnd w:id="7"/>
    </w:p>
    <w:p w:rsidR="00F84F32" w:rsidRPr="00407000" w:rsidRDefault="00F84F32" w:rsidP="00407000"/>
    <w:p w:rsidR="00F84F32" w:rsidRPr="00407000" w:rsidRDefault="00F84F32" w:rsidP="00407000"/>
    <w:p w:rsidR="00F84F32" w:rsidRPr="00266020" w:rsidRDefault="00F84F32" w:rsidP="00407000">
      <w:pPr>
        <w:rPr>
          <w:color w:val="000000"/>
        </w:rPr>
      </w:pPr>
      <w:r w:rsidRPr="00407000">
        <w:t xml:space="preserve">Strategický plán rozvoje města Olomouce (dále také „SP“ či „Strategický plán“) byl schválen Zastupitelstvem města Olomouce ve dvou fázích. Dne 19. 12. 2017 usnesením č. 14 byly projednány a schváleny závěry analytické části a návrhová část. Dne 12. 3. 2018 usnesením č. 15 byla projednána a schválena implementační část SP. Jedná se o klíčový strategický rozvojový dokument, jenž zavazuje město k realizaci a podpoře takových aktivit, které povedou k rozvoji města v souladu s nastavenými </w:t>
      </w:r>
      <w:r w:rsidRPr="00266020">
        <w:rPr>
          <w:color w:val="000000"/>
        </w:rPr>
        <w:t xml:space="preserve">cíli. </w:t>
      </w:r>
    </w:p>
    <w:p w:rsidR="00F84F32" w:rsidRPr="00266020" w:rsidRDefault="00F84F32" w:rsidP="00407000">
      <w:pPr>
        <w:rPr>
          <w:color w:val="000000"/>
        </w:rPr>
      </w:pPr>
      <w:r w:rsidRPr="00266020">
        <w:rPr>
          <w:color w:val="000000"/>
        </w:rPr>
        <w:t>Návrhová část dokumentu je členěna na tři základní úrovně – vizi, pilíře a specifické cíle, které mají dlouhodobý charakter a tvoří její základní strukturu. Zastřešujícím rámcem celé strategie je vize, která určuje základní směřování města Olomouce a popisuje budoucí stav, jehož chce dosáhnout. Ke stanovené vizi bude město směřovat prostřednictvím plnění 23 specifických cílů, v rámci kterých bylo dále specifikováno 87 hlavních opatření. Specifické cíle jsou uspořádány do 4 pilířů, které představují klíčové tematické okruhy:</w:t>
      </w:r>
    </w:p>
    <w:p w:rsidR="00F84F32" w:rsidRPr="00407000" w:rsidRDefault="00F84F32" w:rsidP="00407000">
      <w:r w:rsidRPr="00407000">
        <w:t>Pilíř 1: Konkurenceschopná a kreativní Olomouc;</w:t>
      </w:r>
      <w:r w:rsidRPr="00407000">
        <w:tab/>
      </w:r>
    </w:p>
    <w:p w:rsidR="00F84F32" w:rsidRPr="00407000" w:rsidRDefault="00F84F32" w:rsidP="00407000">
      <w:r w:rsidRPr="00407000">
        <w:t>Pilíř 2: Olomouc – perla Evropy;</w:t>
      </w:r>
    </w:p>
    <w:p w:rsidR="00F84F32" w:rsidRPr="00407000" w:rsidRDefault="00F84F32" w:rsidP="00407000">
      <w:r w:rsidRPr="00407000">
        <w:t>Pilíř 3: Udržitelná Olomouc;</w:t>
      </w:r>
    </w:p>
    <w:p w:rsidR="00F84F32" w:rsidRPr="00407000" w:rsidRDefault="00F84F32" w:rsidP="00407000">
      <w:r w:rsidRPr="00407000">
        <w:t>Pilíř 4: Olomouc – funkční centrum regionu.</w:t>
      </w:r>
    </w:p>
    <w:p w:rsidR="00F84F32" w:rsidRPr="00407000" w:rsidRDefault="00F84F32" w:rsidP="00407000">
      <w:r w:rsidRPr="00407000">
        <w:t xml:space="preserve">Implementační část dokumentu stanovuje způsob, jímž bude SP realizován v praxi – prostřednictvím každoročních akčních plánů, které specifikují plánované projekty v rámci jednotlivých priorit a opatření a které jsou navázány na tvorbu rozpočtu města. Strategický plán dále uvádí způsob monitorování naplňování cílů strategie, jehož účelem je měření úspěšnosti při dosahování vytýčených cílů prostřednictvím systému monitorovacích indikátorů. Bylo stanoveno celkem 54 monitorovacích indikátorů, z toho 5 indikátorů dopadu, které se váží přímo k vizi města, a dále 49 indikátorů k jednotlivým specifickým cílům. V případě specifických cílů 3.1, </w:t>
      </w:r>
      <w:smartTag w:uri="urn:schemas-microsoft-com:office:smarttags" w:element="metricconverter">
        <w:smartTagPr>
          <w:attr w:name="ProductID" w:val="4.5 a"/>
        </w:smartTagPr>
        <w:r w:rsidRPr="00407000">
          <w:t>4.5 a</w:t>
        </w:r>
      </w:smartTag>
      <w:r w:rsidRPr="00407000">
        <w:t xml:space="preserve"> 4.6 budou indikátory sledovány a vyhodnocovány v rámci příslušných koncepčních dokumentů, v nichž jsou stanoveny (tj. u cíle 3.1 v rámci Plánu udržitelné městské mobility Olomouce, u cíle 4.5 v rámci Komunitního plánu sociálních služeb Olomoucka a Koncepce rozvoje rodinné politiky statutárního města Olomouce a u cíle 4.6 v rámci Koncepce prevence kriminality města Olomouce). Nastavené</w:t>
      </w:r>
      <w:r>
        <w:t xml:space="preserve"> </w:t>
      </w:r>
      <w:r w:rsidRPr="00407000">
        <w:t>cílové hodnoty monitorovacích indikátorů jsou uvedeny jako ideální stav (na základě expertního odhadu), kterého chce město dosáhnout, byť se mu to z různých objektivních důvodů nemusí podařit. Klíčový je nastavený směr u každého indikátoru.</w:t>
      </w:r>
    </w:p>
    <w:p w:rsidR="00F84F32" w:rsidRDefault="00F84F32" w:rsidP="00407000">
      <w:r>
        <w:t xml:space="preserve">S ohledem na změny v organizační struktuře Magistrátu města Olomouce po komunálních volbách v roce </w:t>
      </w:r>
      <w:smartTag w:uri="urn:schemas-microsoft-com:office:smarttags" w:element="metricconverter">
        <w:smartTagPr>
          <w:attr w:name="ProductID" w:val="2018, a"/>
        </w:smartTagPr>
        <w:r>
          <w:t>2018, a</w:t>
        </w:r>
      </w:smartTag>
      <w:r>
        <w:t xml:space="preserve"> dále na změnu metodiky sledování monitorovacího indikátoru č. 15 Počet přispěvovatelů do kalendáře akcí (byl nahrazen novým indikátorem </w:t>
      </w:r>
      <w:r w:rsidRPr="0060586D">
        <w:t>Počet akcí v kalendáři na webových stránkách města</w:t>
      </w:r>
      <w:r>
        <w:t>), nízké vypovídající hodnotě monitorovacího indikátoru č. 42 Přebytek hospodaření běžného účtu (nahrazen novým indikátorem Provozní saldo) a potřebě nastavení cílových hodnot některých indikátorů</w:t>
      </w:r>
      <w:r w:rsidRPr="00781713">
        <w:t xml:space="preserve"> po</w:t>
      </w:r>
      <w:r>
        <w:t> </w:t>
      </w:r>
      <w:r w:rsidRPr="00781713">
        <w:t>prvním měření</w:t>
      </w:r>
      <w:r>
        <w:t>, byly</w:t>
      </w:r>
      <w:r w:rsidRPr="00A26915">
        <w:t xml:space="preserve"> </w:t>
      </w:r>
      <w:r w:rsidRPr="00407000">
        <w:t xml:space="preserve">Zastupitelstvem města Olomouce </w:t>
      </w:r>
      <w:r>
        <w:t>d</w:t>
      </w:r>
      <w:r w:rsidRPr="00407000">
        <w:t>ne 1</w:t>
      </w:r>
      <w:r>
        <w:t>1</w:t>
      </w:r>
      <w:r w:rsidRPr="00407000">
        <w:t xml:space="preserve">. </w:t>
      </w:r>
      <w:r>
        <w:t>9</w:t>
      </w:r>
      <w:r w:rsidRPr="00407000">
        <w:t>. 201</w:t>
      </w:r>
      <w:r>
        <w:t>9</w:t>
      </w:r>
      <w:r w:rsidRPr="00407000">
        <w:t xml:space="preserve"> </w:t>
      </w:r>
      <w:r>
        <w:t>schváleny dílčí změny v nastavení monitorovacích indikátorů.</w:t>
      </w:r>
    </w:p>
    <w:p w:rsidR="00F84F32" w:rsidRDefault="00F84F32" w:rsidP="00407000"/>
    <w:p w:rsidR="00F84F32" w:rsidRDefault="00F84F32" w:rsidP="00407000">
      <w:r>
        <w:t xml:space="preserve">Naplňování Strategického plánu rozvoje města Olomouce je od roku 2018 vyhodnocováno na základě každoročně zpracovaných </w:t>
      </w:r>
      <w:r w:rsidRPr="00407000">
        <w:t>Zpráv o naplňování Strategického plánu, kter</w:t>
      </w:r>
      <w:r>
        <w:t>é</w:t>
      </w:r>
      <w:r w:rsidRPr="00407000">
        <w:t xml:space="preserve"> </w:t>
      </w:r>
      <w:r>
        <w:t xml:space="preserve">jednak </w:t>
      </w:r>
      <w:r w:rsidRPr="00407000">
        <w:t>vyhodnocuj</w:t>
      </w:r>
      <w:r>
        <w:t>í</w:t>
      </w:r>
      <w:r w:rsidRPr="00407000">
        <w:t xml:space="preserve"> naplňování hlavních opatření v rámci jednotlivých specifických cílů </w:t>
      </w:r>
      <w:r>
        <w:t>a dále</w:t>
      </w:r>
      <w:r w:rsidRPr="00407000">
        <w:t xml:space="preserve"> sleduj</w:t>
      </w:r>
      <w:r>
        <w:t>í</w:t>
      </w:r>
      <w:r w:rsidRPr="00407000">
        <w:t xml:space="preserve"> všechny monitorovací indikátory</w:t>
      </w:r>
      <w:r>
        <w:t>.</w:t>
      </w:r>
    </w:p>
    <w:p w:rsidR="00F84F32" w:rsidRPr="00407000" w:rsidRDefault="00F84F32" w:rsidP="00407000">
      <w:r w:rsidRPr="00407000">
        <w:lastRenderedPageBreak/>
        <w:t>Zpráva o naplňování Strategického plánu</w:t>
      </w:r>
      <w:r>
        <w:t xml:space="preserve"> za rok 2020</w:t>
      </w:r>
      <w:r w:rsidRPr="00407000">
        <w:t xml:space="preserve"> je sestavena na základě podkladů, které odbor strategie a řízení získal v</w:t>
      </w:r>
      <w:r>
        <w:t xml:space="preserve"> první polovině roku 2021</w:t>
      </w:r>
      <w:r w:rsidRPr="00407000">
        <w:t xml:space="preserve"> od administrátorů specifických cílů (či dalších kompetentních osob) a také od správců jednotlivých indikátorů. </w:t>
      </w:r>
    </w:p>
    <w:p w:rsidR="00F84F32" w:rsidRPr="00407000" w:rsidRDefault="00F84F32" w:rsidP="00407000"/>
    <w:p w:rsidR="00F84F32" w:rsidRPr="00407000" w:rsidRDefault="00F84F32" w:rsidP="00407000">
      <w:pPr>
        <w:pStyle w:val="StylNadpis1Ped0bZa0b"/>
        <w:tabs>
          <w:tab w:val="clear" w:pos="-507"/>
          <w:tab w:val="num" w:pos="567"/>
        </w:tabs>
        <w:ind w:left="567" w:hanging="567"/>
      </w:pPr>
      <w:r w:rsidRPr="00407000">
        <w:rPr>
          <w:b w:val="0"/>
          <w:caps/>
          <w:sz w:val="20"/>
        </w:rPr>
        <w:br w:type="page"/>
      </w:r>
      <w:bookmarkStart w:id="8" w:name="_Toc15637082"/>
      <w:bookmarkStart w:id="9" w:name="_Toc45699128"/>
      <w:r w:rsidRPr="00407000">
        <w:lastRenderedPageBreak/>
        <w:t>Naplňování Strategického plánu rozvoje města Olomouce z pohledu monitorovacích indikátorů</w:t>
      </w:r>
      <w:bookmarkEnd w:id="8"/>
      <w:bookmarkEnd w:id="9"/>
    </w:p>
    <w:p w:rsidR="00F84F32" w:rsidRPr="00407000" w:rsidRDefault="00F84F32" w:rsidP="00AD01FB"/>
    <w:p w:rsidR="00F84F32" w:rsidRPr="00407000" w:rsidRDefault="00F84F32" w:rsidP="00AD01FB"/>
    <w:p w:rsidR="00F84F32" w:rsidRPr="007210BB" w:rsidRDefault="00F84F32" w:rsidP="00407000">
      <w:r w:rsidRPr="00407000">
        <w:t xml:space="preserve">Míru naplňování specifických cílů SP je možné sledovat postupným měřením nastavených monitorovacích indikátorů. U některých indikátorů </w:t>
      </w:r>
      <w:r>
        <w:t xml:space="preserve">stále </w:t>
      </w:r>
      <w:r w:rsidRPr="00407000">
        <w:t xml:space="preserve">nejsou k dispozici disponibilní data. Indikátory </w:t>
      </w:r>
      <w:r>
        <w:t>jso</w:t>
      </w:r>
      <w:r w:rsidRPr="00407000">
        <w:t>u vyhodnocovány každoročně, a je tedy předpoklad, že</w:t>
      </w:r>
      <w:r>
        <w:t> </w:t>
      </w:r>
      <w:r w:rsidRPr="00407000">
        <w:t xml:space="preserve">některá data budou zjištěna s delší </w:t>
      </w:r>
      <w:r w:rsidRPr="00C405FE">
        <w:t xml:space="preserve">než roční periodicitou. Jedná se zejména o data </w:t>
      </w:r>
      <w:r w:rsidRPr="007210BB">
        <w:t>získávána dotazníkovým šetřením či průzkumem, který je realizován 1 x za 3 až 5 let.</w:t>
      </w:r>
    </w:p>
    <w:p w:rsidR="00F84F32" w:rsidRPr="00407000" w:rsidRDefault="00F84F32" w:rsidP="00407000">
      <w:r w:rsidRPr="007210BB">
        <w:t>Na základě vyhodnocení indikátorů lze konstatovat, že ze 45 sledovaných indikátorů v roce 2020 se jich 22 (48,9 %) vyvíjelo žádoucím směrem, u 10 indikátorů (22,2 %) nedošlo k žádnému vývoji (ke změně stavu) a u 13 indikátorů (28,9 %) došlo k negativnímu posunu. K 3 indikátorům nejsou známa data či nebyly v daném roce sledovány, a proto nemohou být vyhodnoceny, 5 indikátorů se pouze monitoruje, a tudíž u nich není stanoven optimální směr.</w:t>
      </w:r>
    </w:p>
    <w:p w:rsidR="00F84F32" w:rsidRPr="00407000" w:rsidRDefault="00F84F32" w:rsidP="00407000"/>
    <w:tbl>
      <w:tblPr>
        <w:tblW w:w="10643" w:type="dxa"/>
        <w:tblInd w:w="-6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93"/>
        <w:gridCol w:w="59"/>
        <w:gridCol w:w="1701"/>
        <w:gridCol w:w="40"/>
        <w:gridCol w:w="14"/>
        <w:gridCol w:w="1177"/>
        <w:gridCol w:w="45"/>
        <w:gridCol w:w="1190"/>
        <w:gridCol w:w="85"/>
        <w:gridCol w:w="1798"/>
        <w:gridCol w:w="45"/>
        <w:gridCol w:w="709"/>
      </w:tblGrid>
      <w:tr w:rsidR="00F84F32" w:rsidRPr="00407000" w:rsidTr="00C34BFB">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9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6109" w:type="dxa"/>
            <w:gridSpan w:val="9"/>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754" w:type="dxa"/>
            <w:gridSpan w:val="2"/>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C34BFB">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593" w:type="dxa"/>
            <w:vMerge/>
          </w:tcPr>
          <w:p w:rsidR="00F84F32" w:rsidRPr="00407000" w:rsidRDefault="00F84F32" w:rsidP="00407000">
            <w:pPr>
              <w:widowControl/>
              <w:ind w:firstLine="0"/>
              <w:jc w:val="center"/>
              <w:rPr>
                <w:rFonts w:eastAsia="MS Mincho"/>
                <w:spacing w:val="4"/>
                <w:sz w:val="18"/>
                <w:szCs w:val="18"/>
                <w:lang w:eastAsia="en-US"/>
              </w:rPr>
            </w:pPr>
          </w:p>
        </w:tc>
        <w:tc>
          <w:tcPr>
            <w:tcW w:w="1814" w:type="dxa"/>
            <w:gridSpan w:val="4"/>
            <w:shd w:val="clear" w:color="auto" w:fill="CCCCCC"/>
            <w:vAlign w:val="center"/>
          </w:tcPr>
          <w:p w:rsidR="00F84F32"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 xml:space="preserve">výchozí stav </w:t>
            </w:r>
          </w:p>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(2016</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35" w:type="dxa"/>
            <w:gridSpan w:val="2"/>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883" w:type="dxa"/>
            <w:gridSpan w:val="2"/>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754" w:type="dxa"/>
            <w:gridSpan w:val="2"/>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C34BFB">
        <w:tc>
          <w:tcPr>
            <w:tcW w:w="560" w:type="dxa"/>
            <w:vMerge w:val="restart"/>
            <w:vAlign w:val="center"/>
          </w:tcPr>
          <w:p w:rsidR="00F84F32" w:rsidRPr="00407000" w:rsidRDefault="00F84F32" w:rsidP="00407000">
            <w:pPr>
              <w:widowControl/>
              <w:ind w:firstLine="0"/>
              <w:jc w:val="center"/>
              <w:rPr>
                <w:sz w:val="18"/>
                <w:szCs w:val="18"/>
              </w:rPr>
            </w:pPr>
            <w:r w:rsidRPr="00407000">
              <w:rPr>
                <w:sz w:val="18"/>
                <w:szCs w:val="18"/>
              </w:rPr>
              <w:t>Vize</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obyvatel města </w:t>
            </w:r>
          </w:p>
        </w:tc>
        <w:tc>
          <w:tcPr>
            <w:tcW w:w="1814" w:type="dxa"/>
            <w:gridSpan w:val="4"/>
            <w:vAlign w:val="center"/>
          </w:tcPr>
          <w:p w:rsidR="00F84F32" w:rsidRPr="00407000" w:rsidRDefault="00F84F32" w:rsidP="00407000">
            <w:pPr>
              <w:widowControl/>
              <w:ind w:firstLine="0"/>
              <w:jc w:val="center"/>
              <w:rPr>
                <w:sz w:val="18"/>
                <w:szCs w:val="18"/>
              </w:rPr>
            </w:pPr>
            <w:r w:rsidRPr="00407000">
              <w:rPr>
                <w:sz w:val="18"/>
                <w:szCs w:val="18"/>
              </w:rPr>
              <w:t>100 378</w:t>
            </w:r>
          </w:p>
        </w:tc>
        <w:tc>
          <w:tcPr>
            <w:tcW w:w="1177" w:type="dxa"/>
            <w:vAlign w:val="center"/>
          </w:tcPr>
          <w:p w:rsidR="00F84F32" w:rsidRPr="00407000" w:rsidRDefault="00F84F32" w:rsidP="00407000">
            <w:pPr>
              <w:widowControl/>
              <w:ind w:firstLine="0"/>
              <w:jc w:val="center"/>
              <w:rPr>
                <w:sz w:val="18"/>
                <w:szCs w:val="18"/>
              </w:rPr>
            </w:pPr>
            <w:r w:rsidRPr="00407000">
              <w:rPr>
                <w:sz w:val="18"/>
                <w:szCs w:val="18"/>
              </w:rPr>
              <w:t>100 378 a více</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B5ED7">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100 </w:t>
            </w:r>
            <w:r>
              <w:rPr>
                <w:rFonts w:eastAsia="MS Mincho"/>
                <w:spacing w:val="4"/>
                <w:sz w:val="18"/>
                <w:szCs w:val="18"/>
                <w:lang w:eastAsia="en-US"/>
              </w:rPr>
              <w:t>514</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vMerge/>
            <w:vAlign w:val="center"/>
          </w:tcPr>
          <w:p w:rsidR="00F84F32" w:rsidRPr="00407000" w:rsidRDefault="00F84F32" w:rsidP="00407000">
            <w:pPr>
              <w:widowControl/>
              <w:ind w:firstLine="0"/>
              <w:jc w:val="center"/>
              <w:rPr>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w:t>
            </w:r>
          </w:p>
        </w:tc>
        <w:tc>
          <w:tcPr>
            <w:tcW w:w="2593" w:type="dxa"/>
            <w:vAlign w:val="center"/>
          </w:tcPr>
          <w:p w:rsidR="00F84F32" w:rsidRPr="00407000" w:rsidRDefault="00F84F32" w:rsidP="00407000">
            <w:pPr>
              <w:ind w:firstLine="0"/>
              <w:jc w:val="left"/>
              <w:rPr>
                <w:sz w:val="18"/>
                <w:szCs w:val="18"/>
              </w:rPr>
            </w:pPr>
            <w:r w:rsidRPr="00407000">
              <w:rPr>
                <w:sz w:val="18"/>
                <w:szCs w:val="18"/>
              </w:rPr>
              <w:t>Pořadí města v žebříčku Město pro byznys</w:t>
            </w:r>
          </w:p>
        </w:tc>
        <w:tc>
          <w:tcPr>
            <w:tcW w:w="1814" w:type="dxa"/>
            <w:gridSpan w:val="4"/>
            <w:vAlign w:val="center"/>
          </w:tcPr>
          <w:p w:rsidR="00F84F32" w:rsidRPr="00407000" w:rsidRDefault="00F84F32" w:rsidP="00407000">
            <w:pPr>
              <w:widowControl/>
              <w:ind w:firstLine="0"/>
              <w:jc w:val="center"/>
              <w:rPr>
                <w:sz w:val="18"/>
                <w:szCs w:val="18"/>
              </w:rPr>
            </w:pPr>
            <w:r w:rsidRPr="00407000">
              <w:rPr>
                <w:sz w:val="18"/>
                <w:szCs w:val="18"/>
              </w:rPr>
              <w:t>7</w:t>
            </w:r>
          </w:p>
        </w:tc>
        <w:tc>
          <w:tcPr>
            <w:tcW w:w="1177" w:type="dxa"/>
            <w:vAlign w:val="center"/>
          </w:tcPr>
          <w:p w:rsidR="00F84F32" w:rsidRPr="00407000" w:rsidRDefault="00F84F32" w:rsidP="00407000">
            <w:pPr>
              <w:widowControl/>
              <w:ind w:firstLine="0"/>
              <w:jc w:val="center"/>
              <w:rPr>
                <w:sz w:val="18"/>
                <w:szCs w:val="18"/>
              </w:rPr>
            </w:pPr>
            <w:r w:rsidRPr="00407000">
              <w:rPr>
                <w:sz w:val="18"/>
                <w:szCs w:val="18"/>
              </w:rPr>
              <w:t>7</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5</w:t>
            </w:r>
            <w:r>
              <w:rPr>
                <w:rStyle w:val="Znakapoznpodarou"/>
                <w:rFonts w:eastAsia="MS Mincho"/>
                <w:spacing w:val="4"/>
                <w:sz w:val="18"/>
                <w:szCs w:val="18"/>
                <w:lang w:eastAsia="en-US"/>
              </w:rPr>
              <w:footnoteReference w:id="1"/>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9F5268">
        <w:tc>
          <w:tcPr>
            <w:tcW w:w="560" w:type="dxa"/>
            <w:vMerge/>
            <w:vAlign w:val="center"/>
          </w:tcPr>
          <w:p w:rsidR="00F84F32" w:rsidRPr="00407000" w:rsidRDefault="00F84F32" w:rsidP="00407000">
            <w:pPr>
              <w:widowControl/>
              <w:ind w:firstLine="0"/>
              <w:jc w:val="center"/>
              <w:rPr>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Celková spokojenost obyvatel s životem ve městě </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1,75</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smartTag w:uri="urn:schemas-microsoft-com:office:smarttags" w:element="metricconverter">
              <w:smartTagPr>
                <w:attr w:name="ProductID" w:val="1,75 a"/>
              </w:smartTagPr>
              <w:r w:rsidRPr="00407000">
                <w:rPr>
                  <w:rFonts w:eastAsia="MS Mincho"/>
                  <w:spacing w:val="4"/>
                  <w:sz w:val="18"/>
                  <w:szCs w:val="18"/>
                  <w:lang w:eastAsia="en-US"/>
                </w:rPr>
                <w:t>1,75 a</w:t>
              </w:r>
            </w:smartTag>
            <w:r w:rsidRPr="00407000">
              <w:rPr>
                <w:rFonts w:eastAsia="MS Mincho"/>
                <w:spacing w:val="4"/>
                <w:sz w:val="18"/>
                <w:szCs w:val="18"/>
                <w:lang w:eastAsia="en-US"/>
              </w:rPr>
              <w:t xml:space="preserve"> více</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2,49</w:t>
            </w:r>
          </w:p>
        </w:tc>
        <w:tc>
          <w:tcPr>
            <w:tcW w:w="754" w:type="dxa"/>
            <w:gridSpan w:val="2"/>
            <w:tcBorders>
              <w:bottom w:val="single" w:sz="4" w:space="0" w:color="auto"/>
            </w:tcBorders>
            <w:shd w:val="clear" w:color="auto" w:fill="99CC00"/>
            <w:vAlign w:val="center"/>
          </w:tcPr>
          <w:p w:rsidR="00F84F32" w:rsidRPr="00407000" w:rsidRDefault="00F84F32" w:rsidP="00407000">
            <w:pPr>
              <w:widowControl/>
              <w:ind w:firstLine="0"/>
              <w:jc w:val="center"/>
              <w:rPr>
                <w:rFonts w:eastAsia="MS Mincho"/>
                <w:spacing w:val="4"/>
                <w:sz w:val="20"/>
                <w:szCs w:val="20"/>
                <w:lang w:eastAsia="en-US"/>
              </w:rPr>
            </w:pPr>
            <w:r w:rsidRPr="00407000">
              <w:rPr>
                <w:sz w:val="32"/>
                <w:szCs w:val="32"/>
              </w:rPr>
              <w:sym w:font="Wingdings" w:char="F04A"/>
            </w:r>
          </w:p>
        </w:tc>
      </w:tr>
      <w:tr w:rsidR="00F84F32" w:rsidRPr="00407000" w:rsidTr="00C34BFB">
        <w:tc>
          <w:tcPr>
            <w:tcW w:w="560" w:type="dxa"/>
            <w:vMerge/>
            <w:vAlign w:val="center"/>
          </w:tcPr>
          <w:p w:rsidR="00F84F32" w:rsidRPr="00407000" w:rsidRDefault="00F84F32" w:rsidP="00407000">
            <w:pPr>
              <w:widowControl/>
              <w:ind w:firstLine="0"/>
              <w:jc w:val="center"/>
              <w:rPr>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w:t>
            </w:r>
          </w:p>
        </w:tc>
        <w:tc>
          <w:tcPr>
            <w:tcW w:w="2593" w:type="dxa"/>
            <w:vAlign w:val="center"/>
          </w:tcPr>
          <w:p w:rsidR="00F84F32" w:rsidRPr="00407000" w:rsidRDefault="00F84F32" w:rsidP="00407000">
            <w:pPr>
              <w:ind w:firstLine="0"/>
              <w:jc w:val="left"/>
              <w:rPr>
                <w:sz w:val="18"/>
                <w:szCs w:val="18"/>
              </w:rPr>
            </w:pPr>
            <w:r w:rsidRPr="00407000">
              <w:rPr>
                <w:sz w:val="18"/>
                <w:szCs w:val="18"/>
              </w:rPr>
              <w:t>Podíl udržitelných forem dopravy (%)</w:t>
            </w:r>
            <w:r>
              <w:rPr>
                <w:rStyle w:val="Znakapoznpodarou"/>
                <w:sz w:val="18"/>
                <w:szCs w:val="18"/>
              </w:rPr>
              <w:footnoteReference w:id="2"/>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68</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68</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nesledováno</w:t>
            </w:r>
          </w:p>
        </w:tc>
        <w:tc>
          <w:tcPr>
            <w:tcW w:w="754" w:type="dxa"/>
            <w:gridSpan w:val="2"/>
            <w:tcBorders>
              <w:top w:val="single" w:sz="4" w:space="0" w:color="auto"/>
            </w:tcBorders>
            <w:vAlign w:val="center"/>
          </w:tcPr>
          <w:p w:rsidR="00F84F32" w:rsidRPr="00407000" w:rsidRDefault="00F84F32" w:rsidP="00407000">
            <w:pPr>
              <w:widowControl/>
              <w:ind w:firstLine="0"/>
              <w:jc w:val="center"/>
              <w:rPr>
                <w:rFonts w:eastAsia="MS Mincho"/>
                <w:spacing w:val="4"/>
                <w:sz w:val="20"/>
                <w:szCs w:val="20"/>
                <w:lang w:eastAsia="en-US"/>
              </w:rPr>
            </w:pPr>
          </w:p>
        </w:tc>
      </w:tr>
      <w:tr w:rsidR="00F84F32" w:rsidRPr="00407000" w:rsidTr="009F5268">
        <w:tc>
          <w:tcPr>
            <w:tcW w:w="560" w:type="dxa"/>
            <w:vMerge/>
            <w:vAlign w:val="center"/>
          </w:tcPr>
          <w:p w:rsidR="00F84F32" w:rsidRPr="00407000" w:rsidRDefault="00F84F32" w:rsidP="00407000">
            <w:pPr>
              <w:widowControl/>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5.</w:t>
            </w:r>
          </w:p>
        </w:tc>
        <w:tc>
          <w:tcPr>
            <w:tcW w:w="2593" w:type="dxa"/>
            <w:vAlign w:val="center"/>
          </w:tcPr>
          <w:p w:rsidR="00F84F32" w:rsidRPr="00407000" w:rsidRDefault="00F84F32" w:rsidP="00407000">
            <w:pPr>
              <w:ind w:firstLine="0"/>
              <w:jc w:val="left"/>
              <w:rPr>
                <w:sz w:val="18"/>
                <w:szCs w:val="18"/>
              </w:rPr>
            </w:pPr>
            <w:r w:rsidRPr="00407000">
              <w:rPr>
                <w:sz w:val="18"/>
                <w:szCs w:val="18"/>
              </w:rPr>
              <w:t>Počet látek s překročením imisních limitů pro ochranu zdraví lidí (počet)</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vMerge w:val="restart"/>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93" w:type="dxa"/>
            <w:vMerge w:val="restart"/>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6109" w:type="dxa"/>
            <w:gridSpan w:val="9"/>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754" w:type="dxa"/>
            <w:gridSpan w:val="2"/>
            <w:vMerge w:val="restart"/>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C34BFB">
        <w:tc>
          <w:tcPr>
            <w:tcW w:w="560" w:type="dxa"/>
            <w:vMerge/>
            <w:vAlign w:val="center"/>
          </w:tcPr>
          <w:p w:rsidR="00F84F32" w:rsidRPr="00407000" w:rsidRDefault="00F84F32" w:rsidP="00407000">
            <w:pPr>
              <w:widowControl/>
              <w:ind w:firstLine="0"/>
              <w:jc w:val="center"/>
              <w:rPr>
                <w:color w:val="000000"/>
                <w:sz w:val="18"/>
                <w:szCs w:val="18"/>
              </w:rPr>
            </w:pPr>
          </w:p>
        </w:tc>
        <w:tc>
          <w:tcPr>
            <w:tcW w:w="627" w:type="dxa"/>
            <w:vMerge/>
            <w:vAlign w:val="center"/>
          </w:tcPr>
          <w:p w:rsidR="00F84F32" w:rsidRPr="00407000" w:rsidRDefault="00F84F32" w:rsidP="00407000">
            <w:pPr>
              <w:widowControl/>
              <w:ind w:firstLine="0"/>
              <w:jc w:val="center"/>
              <w:rPr>
                <w:color w:val="000000"/>
                <w:sz w:val="18"/>
                <w:szCs w:val="18"/>
              </w:rPr>
            </w:pPr>
          </w:p>
        </w:tc>
        <w:tc>
          <w:tcPr>
            <w:tcW w:w="2593" w:type="dxa"/>
            <w:vMerge/>
          </w:tcPr>
          <w:p w:rsidR="00F84F32" w:rsidRPr="00407000" w:rsidRDefault="00F84F32" w:rsidP="00407000">
            <w:pPr>
              <w:widowControl/>
              <w:ind w:firstLine="0"/>
              <w:jc w:val="left"/>
              <w:rPr>
                <w:rFonts w:eastAsia="MS Mincho"/>
                <w:spacing w:val="4"/>
                <w:sz w:val="18"/>
                <w:szCs w:val="18"/>
                <w:lang w:eastAsia="en-US"/>
              </w:rPr>
            </w:pPr>
          </w:p>
        </w:tc>
        <w:tc>
          <w:tcPr>
            <w:tcW w:w="1814" w:type="dxa"/>
            <w:gridSpan w:val="4"/>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 xml:space="preserve">výchozí stav </w:t>
            </w:r>
          </w:p>
          <w:p w:rsidR="00F84F32" w:rsidRPr="00407000" w:rsidRDefault="00F84F32" w:rsidP="005A1A64">
            <w:pPr>
              <w:widowControl/>
              <w:ind w:firstLine="0"/>
              <w:jc w:val="center"/>
              <w:rPr>
                <w:rFonts w:eastAsia="MS Mincho"/>
                <w:b/>
                <w:spacing w:val="4"/>
                <w:sz w:val="18"/>
                <w:szCs w:val="18"/>
                <w:lang w:eastAsia="en-US"/>
              </w:rPr>
            </w:pPr>
            <w:r w:rsidRPr="00407000">
              <w:rPr>
                <w:rFonts w:eastAsia="MS Mincho"/>
                <w:b/>
                <w:spacing w:val="4"/>
                <w:sz w:val="18"/>
                <w:szCs w:val="18"/>
                <w:lang w:eastAsia="en-US"/>
              </w:rPr>
              <w:t>(2016</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35" w:type="dxa"/>
            <w:gridSpan w:val="2"/>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883" w:type="dxa"/>
            <w:gridSpan w:val="2"/>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754" w:type="dxa"/>
            <w:gridSpan w:val="2"/>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C34BFB">
        <w:tc>
          <w:tcPr>
            <w:tcW w:w="10643" w:type="dxa"/>
            <w:gridSpan w:val="14"/>
            <w:shd w:val="clear" w:color="auto" w:fill="4F77DB"/>
            <w:vAlign w:val="center"/>
          </w:tcPr>
          <w:p w:rsidR="00F84F32" w:rsidRPr="00407000" w:rsidRDefault="00F84F32" w:rsidP="00407000">
            <w:pPr>
              <w:widowControl/>
              <w:ind w:firstLine="0"/>
              <w:jc w:val="left"/>
              <w:rPr>
                <w:b/>
                <w:color w:val="FFFFFF"/>
                <w:sz w:val="18"/>
                <w:szCs w:val="18"/>
              </w:rPr>
            </w:pPr>
            <w:r w:rsidRPr="00407000">
              <w:rPr>
                <w:b/>
                <w:color w:val="FFFFFF"/>
                <w:sz w:val="18"/>
                <w:szCs w:val="18"/>
              </w:rPr>
              <w:t>Pilíř 1: Konkurenceschopná a kreativní Olomouc</w:t>
            </w:r>
          </w:p>
        </w:tc>
      </w:tr>
      <w:tr w:rsidR="00F84F32" w:rsidRPr="00407000" w:rsidTr="00C34BFB">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1.1</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nepřijatých dětí do MŠ </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464</w:t>
            </w:r>
            <w:r w:rsidRPr="00407000">
              <w:rPr>
                <w:rStyle w:val="Znakapoznpodarou"/>
                <w:rFonts w:eastAsia="MS Mincho"/>
                <w:spacing w:val="4"/>
                <w:sz w:val="18"/>
                <w:szCs w:val="18"/>
                <w:lang w:eastAsia="en-US"/>
              </w:rPr>
              <w:footnoteReference w:id="3"/>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w:t>
            </w:r>
            <w:r>
              <w:rPr>
                <w:rFonts w:eastAsia="MS Mincho"/>
                <w:spacing w:val="4"/>
                <w:sz w:val="18"/>
                <w:szCs w:val="18"/>
                <w:lang w:eastAsia="en-US"/>
              </w:rPr>
              <w:t>56</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nově vzniklých míst v mateřských školách (počet, kumulovaný) </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49</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194</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78</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w:t>
            </w:r>
          </w:p>
        </w:tc>
        <w:tc>
          <w:tcPr>
            <w:tcW w:w="2593" w:type="dxa"/>
            <w:vAlign w:val="center"/>
          </w:tcPr>
          <w:p w:rsidR="00F84F32" w:rsidRPr="00407000" w:rsidRDefault="00F84F32" w:rsidP="00407000">
            <w:pPr>
              <w:ind w:firstLine="0"/>
              <w:jc w:val="left"/>
              <w:rPr>
                <w:sz w:val="18"/>
                <w:szCs w:val="18"/>
              </w:rPr>
            </w:pPr>
            <w:r w:rsidRPr="00407000">
              <w:rPr>
                <w:sz w:val="18"/>
                <w:szCs w:val="18"/>
              </w:rPr>
              <w:t>Počet nových odborných učeben (počet, kumulovaný)</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12</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w:t>
            </w:r>
          </w:p>
        </w:tc>
        <w:tc>
          <w:tcPr>
            <w:tcW w:w="2593" w:type="dxa"/>
            <w:vAlign w:val="center"/>
          </w:tcPr>
          <w:p w:rsidR="00F84F32" w:rsidRPr="00407000" w:rsidRDefault="00F84F32" w:rsidP="00407000">
            <w:pPr>
              <w:ind w:firstLine="0"/>
              <w:jc w:val="left"/>
              <w:rPr>
                <w:sz w:val="18"/>
                <w:szCs w:val="18"/>
              </w:rPr>
            </w:pPr>
            <w:r w:rsidRPr="00407000">
              <w:rPr>
                <w:sz w:val="18"/>
                <w:szCs w:val="18"/>
              </w:rPr>
              <w:t>Kapacita odborných učeben (počet míst, kumulovaný)</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892</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1 152</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1 183</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rPr>
          <w:trHeight w:val="389"/>
        </w:trPr>
        <w:tc>
          <w:tcPr>
            <w:tcW w:w="560" w:type="dxa"/>
            <w:vAlign w:val="center"/>
          </w:tcPr>
          <w:p w:rsidR="00F84F32" w:rsidRPr="00407000" w:rsidRDefault="00F84F32" w:rsidP="00407000">
            <w:pPr>
              <w:ind w:firstLine="0"/>
              <w:jc w:val="center"/>
              <w:rPr>
                <w:color w:val="000000"/>
                <w:sz w:val="18"/>
                <w:szCs w:val="18"/>
              </w:rPr>
            </w:pPr>
            <w:r w:rsidRPr="00407000">
              <w:rPr>
                <w:color w:val="000000"/>
                <w:sz w:val="18"/>
                <w:szCs w:val="18"/>
              </w:rPr>
              <w:t>1.2</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5.</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studentů dle oborů středních škol </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Strojírenství/</w:t>
            </w:r>
            <w:r>
              <w:rPr>
                <w:rFonts w:eastAsia="MS Mincho"/>
                <w:spacing w:val="4"/>
                <w:sz w:val="18"/>
                <w:szCs w:val="18"/>
                <w:lang w:eastAsia="en-US"/>
              </w:rPr>
              <w:t>365</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Mechanik- elektrotechnik/13</w:t>
            </w:r>
            <w:r>
              <w:rPr>
                <w:rFonts w:eastAsia="MS Mincho"/>
                <w:spacing w:val="4"/>
                <w:sz w:val="18"/>
                <w:szCs w:val="18"/>
                <w:lang w:eastAsia="en-US"/>
              </w:rPr>
              <w:t>7</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Elektrotechnika/23</w:t>
            </w:r>
            <w:r>
              <w:rPr>
                <w:rFonts w:eastAsia="MS Mincho"/>
                <w:spacing w:val="4"/>
                <w:sz w:val="18"/>
                <w:szCs w:val="18"/>
                <w:lang w:eastAsia="en-US"/>
              </w:rPr>
              <w:t>3</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Zdravotnický asistent/27</w:t>
            </w:r>
            <w:r>
              <w:rPr>
                <w:rFonts w:eastAsia="MS Mincho"/>
                <w:spacing w:val="4"/>
                <w:sz w:val="18"/>
                <w:szCs w:val="18"/>
                <w:lang w:eastAsia="en-US"/>
              </w:rPr>
              <w:t>9</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Strojírenství/3</w:t>
            </w:r>
            <w:r>
              <w:rPr>
                <w:rFonts w:eastAsia="MS Mincho"/>
                <w:spacing w:val="4"/>
                <w:sz w:val="18"/>
                <w:szCs w:val="18"/>
                <w:lang w:eastAsia="en-US"/>
              </w:rPr>
              <w:t>97</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Mechanik- elektrotechnik/1</w:t>
            </w:r>
            <w:r>
              <w:rPr>
                <w:rFonts w:eastAsia="MS Mincho"/>
                <w:spacing w:val="4"/>
                <w:sz w:val="18"/>
                <w:szCs w:val="18"/>
                <w:lang w:eastAsia="en-US"/>
              </w:rPr>
              <w:t>60</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Elektrotechnika/2</w:t>
            </w:r>
            <w:r>
              <w:rPr>
                <w:rFonts w:eastAsia="MS Mincho"/>
                <w:spacing w:val="4"/>
                <w:sz w:val="18"/>
                <w:szCs w:val="18"/>
                <w:lang w:eastAsia="en-US"/>
              </w:rPr>
              <w:t>34</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Zdravotnický asistent</w:t>
            </w:r>
            <w:r>
              <w:rPr>
                <w:rFonts w:eastAsia="MS Mincho"/>
                <w:spacing w:val="4"/>
                <w:sz w:val="18"/>
                <w:szCs w:val="18"/>
                <w:lang w:eastAsia="en-US"/>
              </w:rPr>
              <w:t>, Praktická sestra</w:t>
            </w:r>
            <w:r w:rsidRPr="00407000">
              <w:rPr>
                <w:rStyle w:val="Znakapoznpodarou"/>
                <w:rFonts w:eastAsia="MS Mincho"/>
                <w:spacing w:val="4"/>
                <w:sz w:val="18"/>
                <w:szCs w:val="18"/>
                <w:lang w:eastAsia="en-US"/>
              </w:rPr>
              <w:footnoteReference w:id="4"/>
            </w:r>
            <w:r w:rsidRPr="00407000">
              <w:rPr>
                <w:rFonts w:eastAsia="MS Mincho"/>
                <w:spacing w:val="4"/>
                <w:sz w:val="18"/>
                <w:szCs w:val="18"/>
                <w:lang w:eastAsia="en-US"/>
              </w:rPr>
              <w:t>/2</w:t>
            </w:r>
            <w:r>
              <w:rPr>
                <w:rFonts w:eastAsia="MS Mincho"/>
                <w:spacing w:val="4"/>
                <w:sz w:val="18"/>
                <w:szCs w:val="18"/>
                <w:lang w:eastAsia="en-US"/>
              </w:rPr>
              <w:t>96</w:t>
            </w:r>
          </w:p>
        </w:tc>
        <w:tc>
          <w:tcPr>
            <w:tcW w:w="754" w:type="dxa"/>
            <w:gridSpan w:val="2"/>
            <w:vAlign w:val="center"/>
          </w:tcPr>
          <w:p w:rsidR="00F84F32" w:rsidRPr="00407000" w:rsidRDefault="00F84F32" w:rsidP="00407000">
            <w:pPr>
              <w:widowControl/>
              <w:ind w:firstLine="0"/>
              <w:jc w:val="center"/>
              <w:rPr>
                <w:rFonts w:eastAsia="MS Mincho"/>
                <w:spacing w:val="4"/>
                <w:sz w:val="16"/>
                <w:szCs w:val="16"/>
                <w:lang w:eastAsia="en-US"/>
              </w:rPr>
            </w:pPr>
          </w:p>
        </w:tc>
      </w:tr>
      <w:tr w:rsidR="00F84F32" w:rsidRPr="00407000" w:rsidTr="00C34BFB">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lastRenderedPageBreak/>
              <w:t>1.3</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6.</w:t>
            </w:r>
          </w:p>
        </w:tc>
        <w:tc>
          <w:tcPr>
            <w:tcW w:w="2593" w:type="dxa"/>
            <w:vAlign w:val="center"/>
          </w:tcPr>
          <w:p w:rsidR="00F84F32" w:rsidRPr="00407000" w:rsidRDefault="00F84F32" w:rsidP="00407000">
            <w:pPr>
              <w:ind w:firstLine="0"/>
              <w:jc w:val="left"/>
              <w:rPr>
                <w:sz w:val="18"/>
                <w:szCs w:val="18"/>
              </w:rPr>
            </w:pPr>
            <w:r w:rsidRPr="00407000">
              <w:rPr>
                <w:sz w:val="18"/>
                <w:szCs w:val="18"/>
              </w:rPr>
              <w:t>Počet místních podniků spolupracujících s vysokými školami</w:t>
            </w:r>
            <w:r>
              <w:rPr>
                <w:rStyle w:val="Znakapoznpodarou"/>
                <w:sz w:val="18"/>
                <w:szCs w:val="18"/>
              </w:rPr>
              <w:footnoteReference w:id="5"/>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116</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bude nastaven</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762032" w:rsidRDefault="00F84F32" w:rsidP="00407000">
            <w:pPr>
              <w:widowControl/>
              <w:ind w:firstLine="0"/>
              <w:jc w:val="center"/>
              <w:rPr>
                <w:rFonts w:eastAsia="MS Mincho"/>
                <w:spacing w:val="4"/>
                <w:sz w:val="18"/>
                <w:szCs w:val="18"/>
                <w:lang w:eastAsia="en-US"/>
              </w:rPr>
            </w:pPr>
            <w:r w:rsidRPr="00762032">
              <w:rPr>
                <w:rFonts w:eastAsia="MS Mincho"/>
                <w:spacing w:val="4"/>
                <w:sz w:val="18"/>
                <w:szCs w:val="18"/>
                <w:lang w:eastAsia="en-US"/>
              </w:rPr>
              <w:t>115</w:t>
            </w:r>
          </w:p>
        </w:tc>
        <w:tc>
          <w:tcPr>
            <w:tcW w:w="754" w:type="dxa"/>
            <w:gridSpan w:val="2"/>
            <w:shd w:val="clear" w:color="auto" w:fill="FFC000"/>
            <w:vAlign w:val="center"/>
          </w:tcPr>
          <w:p w:rsidR="00F84F32" w:rsidRPr="00762032" w:rsidRDefault="00F84F32" w:rsidP="00407000">
            <w:pPr>
              <w:widowControl/>
              <w:ind w:firstLine="0"/>
              <w:jc w:val="center"/>
              <w:rPr>
                <w:rFonts w:eastAsia="MS Mincho"/>
                <w:spacing w:val="4"/>
                <w:sz w:val="16"/>
                <w:szCs w:val="16"/>
                <w:lang w:eastAsia="en-US"/>
              </w:rPr>
            </w:pPr>
            <w:r w:rsidRPr="00407000">
              <w:rPr>
                <w:sz w:val="32"/>
                <w:szCs w:val="32"/>
              </w:rPr>
              <w:sym w:font="Wingdings" w:char="F04B"/>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7.</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Obrat ze smluvního výzkumu a znalostních služeb zobchodovaných vysokými </w:t>
            </w:r>
            <w:r w:rsidRPr="00762032">
              <w:rPr>
                <w:sz w:val="18"/>
                <w:szCs w:val="18"/>
              </w:rPr>
              <w:t>školami (mil. Kč)</w:t>
            </w:r>
            <w:r>
              <w:rPr>
                <w:rStyle w:val="Znakapoznpodarou"/>
                <w:sz w:val="18"/>
                <w:szCs w:val="18"/>
              </w:rPr>
              <w:t>5</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12,75</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bude nastaven</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E656B9" w:rsidRDefault="00F84F32" w:rsidP="008F561F">
            <w:pPr>
              <w:widowControl/>
              <w:ind w:firstLine="0"/>
              <w:jc w:val="center"/>
              <w:rPr>
                <w:rFonts w:eastAsia="MS Mincho"/>
                <w:spacing w:val="4"/>
                <w:sz w:val="18"/>
                <w:szCs w:val="18"/>
                <w:highlight w:val="yellow"/>
                <w:lang w:eastAsia="en-US"/>
              </w:rPr>
            </w:pPr>
            <w:r w:rsidRPr="00762032">
              <w:rPr>
                <w:rFonts w:eastAsia="MS Mincho"/>
                <w:spacing w:val="4"/>
                <w:sz w:val="18"/>
                <w:szCs w:val="18"/>
                <w:lang w:eastAsia="en-US"/>
              </w:rPr>
              <w:t>3,94</w:t>
            </w:r>
          </w:p>
        </w:tc>
        <w:tc>
          <w:tcPr>
            <w:tcW w:w="754" w:type="dxa"/>
            <w:gridSpan w:val="2"/>
            <w:shd w:val="clear" w:color="auto" w:fill="FF0000"/>
            <w:vAlign w:val="center"/>
          </w:tcPr>
          <w:p w:rsidR="00F84F32" w:rsidRPr="00E656B9" w:rsidRDefault="00F84F32" w:rsidP="00407000">
            <w:pPr>
              <w:widowControl/>
              <w:ind w:firstLine="0"/>
              <w:jc w:val="center"/>
              <w:rPr>
                <w:rFonts w:eastAsia="MS Mincho"/>
                <w:spacing w:val="4"/>
                <w:sz w:val="16"/>
                <w:szCs w:val="16"/>
                <w:highlight w:val="yellow"/>
                <w:lang w:eastAsia="en-US"/>
              </w:rPr>
            </w:pPr>
            <w:r w:rsidRPr="00407000">
              <w:rPr>
                <w:sz w:val="32"/>
                <w:szCs w:val="32"/>
              </w:rPr>
              <w:sym w:font="Wingdings" w:char="F04C"/>
            </w:r>
          </w:p>
        </w:tc>
      </w:tr>
      <w:tr w:rsidR="00F84F32" w:rsidRPr="00407000" w:rsidTr="00C34BFB">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1.4</w:t>
            </w:r>
          </w:p>
        </w:tc>
        <w:tc>
          <w:tcPr>
            <w:tcW w:w="627" w:type="dxa"/>
            <w:vAlign w:val="center"/>
          </w:tcPr>
          <w:p w:rsidR="00F84F32" w:rsidRPr="00407000" w:rsidRDefault="00F84F32" w:rsidP="00D20814">
            <w:pPr>
              <w:ind w:firstLine="27"/>
              <w:jc w:val="center"/>
              <w:rPr>
                <w:color w:val="000000"/>
                <w:sz w:val="18"/>
                <w:szCs w:val="18"/>
              </w:rPr>
            </w:pPr>
            <w:r w:rsidRPr="00407000">
              <w:rPr>
                <w:color w:val="000000"/>
                <w:sz w:val="18"/>
                <w:szCs w:val="18"/>
              </w:rPr>
              <w:t>8.</w:t>
            </w:r>
          </w:p>
        </w:tc>
        <w:tc>
          <w:tcPr>
            <w:tcW w:w="2593" w:type="dxa"/>
            <w:vAlign w:val="center"/>
          </w:tcPr>
          <w:p w:rsidR="00F84F32" w:rsidRPr="00407000" w:rsidRDefault="00F84F32" w:rsidP="00407000">
            <w:pPr>
              <w:ind w:firstLine="0"/>
              <w:jc w:val="left"/>
              <w:rPr>
                <w:sz w:val="18"/>
                <w:szCs w:val="18"/>
              </w:rPr>
            </w:pPr>
            <w:r w:rsidRPr="00407000">
              <w:rPr>
                <w:sz w:val="18"/>
                <w:szCs w:val="18"/>
              </w:rPr>
              <w:t>Počet/plocha zmodernizovaných objektů či areálů (vč.</w:t>
            </w:r>
            <w:r>
              <w:rPr>
                <w:sz w:val="18"/>
                <w:szCs w:val="18"/>
              </w:rPr>
              <w:t> </w:t>
            </w:r>
            <w:r w:rsidRPr="00407000">
              <w:rPr>
                <w:sz w:val="18"/>
                <w:szCs w:val="18"/>
              </w:rPr>
              <w:t>brownfields) určených k</w:t>
            </w:r>
            <w:r>
              <w:rPr>
                <w:sz w:val="18"/>
                <w:szCs w:val="18"/>
              </w:rPr>
              <w:t> </w:t>
            </w:r>
            <w:r w:rsidRPr="00407000">
              <w:rPr>
                <w:sz w:val="18"/>
                <w:szCs w:val="18"/>
              </w:rPr>
              <w:t>podnikatelským aktivitám (počet/ha)</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n.a.</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2/10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0/0</w:t>
            </w:r>
          </w:p>
        </w:tc>
        <w:tc>
          <w:tcPr>
            <w:tcW w:w="754" w:type="dxa"/>
            <w:gridSpan w:val="2"/>
            <w:shd w:val="clear" w:color="auto" w:fill="FFC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B"/>
            </w:r>
          </w:p>
        </w:tc>
      </w:tr>
      <w:tr w:rsidR="00F84F32" w:rsidRPr="00407000" w:rsidTr="00C34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0" w:type="dxa"/>
            <w:vMerge/>
            <w:tcBorders>
              <w:top w:val="single" w:sz="6" w:space="0" w:color="000000"/>
              <w:left w:val="single" w:sz="12" w:space="0" w:color="000000"/>
              <w:bottom w:val="single" w:sz="6" w:space="0" w:color="000000"/>
              <w:right w:val="single" w:sz="6" w:space="0" w:color="000000"/>
            </w:tcBorders>
          </w:tcPr>
          <w:p w:rsidR="00F84F32" w:rsidRPr="00407000" w:rsidRDefault="00F84F32" w:rsidP="00407000">
            <w:pPr>
              <w:ind w:firstLine="0"/>
              <w:jc w:val="center"/>
              <w:rPr>
                <w:color w:val="000000"/>
                <w:sz w:val="18"/>
                <w:szCs w:val="18"/>
              </w:rPr>
            </w:pPr>
          </w:p>
        </w:tc>
        <w:tc>
          <w:tcPr>
            <w:tcW w:w="627" w:type="dxa"/>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D20814">
            <w:pPr>
              <w:ind w:firstLine="27"/>
              <w:jc w:val="center"/>
              <w:rPr>
                <w:color w:val="000000"/>
                <w:sz w:val="18"/>
                <w:szCs w:val="18"/>
              </w:rPr>
            </w:pPr>
            <w:r w:rsidRPr="00407000">
              <w:rPr>
                <w:color w:val="000000"/>
                <w:sz w:val="18"/>
                <w:szCs w:val="18"/>
              </w:rPr>
              <w:t>9.</w:t>
            </w:r>
          </w:p>
        </w:tc>
        <w:tc>
          <w:tcPr>
            <w:tcW w:w="2593" w:type="dxa"/>
            <w:tcBorders>
              <w:top w:val="single" w:sz="6" w:space="0" w:color="000000"/>
              <w:left w:val="single" w:sz="6" w:space="0" w:color="000000"/>
              <w:bottom w:val="single" w:sz="6" w:space="0" w:color="000000"/>
              <w:right w:val="single" w:sz="6" w:space="0" w:color="000000"/>
            </w:tcBorders>
          </w:tcPr>
          <w:p w:rsidR="00F84F32" w:rsidRPr="00407000" w:rsidRDefault="00F84F32" w:rsidP="00407000">
            <w:pPr>
              <w:ind w:firstLine="0"/>
              <w:jc w:val="left"/>
              <w:rPr>
                <w:sz w:val="18"/>
                <w:szCs w:val="18"/>
              </w:rPr>
            </w:pPr>
            <w:r w:rsidRPr="00407000">
              <w:rPr>
                <w:sz w:val="18"/>
                <w:szCs w:val="18"/>
              </w:rPr>
              <w:t>Nová databáze brownfields na území města (A/N)</w:t>
            </w:r>
          </w:p>
        </w:tc>
        <w:tc>
          <w:tcPr>
            <w:tcW w:w="1814" w:type="dxa"/>
            <w:gridSpan w:val="4"/>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D20814">
            <w:pPr>
              <w:widowControl/>
              <w:ind w:firstLine="0"/>
              <w:jc w:val="center"/>
              <w:rPr>
                <w:rFonts w:eastAsia="MS Mincho"/>
                <w:spacing w:val="4"/>
                <w:sz w:val="18"/>
                <w:szCs w:val="18"/>
                <w:lang w:eastAsia="en-US"/>
              </w:rPr>
            </w:pPr>
            <w:r w:rsidRPr="00407000">
              <w:rPr>
                <w:rFonts w:eastAsia="MS Mincho"/>
                <w:spacing w:val="4"/>
                <w:sz w:val="18"/>
                <w:szCs w:val="18"/>
                <w:lang w:eastAsia="en-US"/>
              </w:rPr>
              <w:t>N</w:t>
            </w:r>
          </w:p>
        </w:tc>
        <w:tc>
          <w:tcPr>
            <w:tcW w:w="1177" w:type="dxa"/>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D20814">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235" w:type="dxa"/>
            <w:gridSpan w:val="2"/>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D20814">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883" w:type="dxa"/>
            <w:gridSpan w:val="2"/>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D20814">
            <w:pPr>
              <w:widowControl/>
              <w:ind w:firstLine="0"/>
              <w:jc w:val="center"/>
              <w:rPr>
                <w:rFonts w:eastAsia="MS Mincho"/>
                <w:spacing w:val="4"/>
                <w:sz w:val="18"/>
                <w:szCs w:val="18"/>
                <w:lang w:eastAsia="en-US"/>
              </w:rPr>
            </w:pPr>
            <w:r>
              <w:rPr>
                <w:rFonts w:eastAsia="MS Mincho"/>
                <w:spacing w:val="4"/>
                <w:sz w:val="18"/>
                <w:szCs w:val="18"/>
                <w:lang w:eastAsia="en-US"/>
              </w:rPr>
              <w:t>A</w:t>
            </w:r>
          </w:p>
        </w:tc>
        <w:tc>
          <w:tcPr>
            <w:tcW w:w="754" w:type="dxa"/>
            <w:gridSpan w:val="2"/>
            <w:tcBorders>
              <w:top w:val="single" w:sz="6" w:space="0" w:color="000000"/>
              <w:left w:val="single" w:sz="6" w:space="0" w:color="000000"/>
              <w:bottom w:val="single" w:sz="6" w:space="0" w:color="000000"/>
              <w:right w:val="single" w:sz="12" w:space="0" w:color="000000"/>
            </w:tcBorders>
            <w:shd w:val="clear" w:color="auto" w:fill="99CC00"/>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10.</w:t>
            </w:r>
          </w:p>
        </w:tc>
        <w:tc>
          <w:tcPr>
            <w:tcW w:w="2593" w:type="dxa"/>
            <w:vAlign w:val="center"/>
          </w:tcPr>
          <w:p w:rsidR="00F84F32" w:rsidRPr="00407000" w:rsidRDefault="00F84F32" w:rsidP="00407000">
            <w:pPr>
              <w:ind w:firstLine="0"/>
              <w:jc w:val="left"/>
              <w:rPr>
                <w:sz w:val="18"/>
                <w:szCs w:val="18"/>
              </w:rPr>
            </w:pPr>
            <w:r w:rsidRPr="00407000">
              <w:rPr>
                <w:sz w:val="18"/>
                <w:szCs w:val="18"/>
              </w:rPr>
              <w:t>Poskytnutá asistence místním firmám, developerům a investorům (počet subjektů)</w:t>
            </w:r>
            <w:r>
              <w:rPr>
                <w:rStyle w:val="Znakapoznpodarou"/>
                <w:sz w:val="18"/>
                <w:szCs w:val="18"/>
              </w:rPr>
              <w:footnoteReference w:id="6"/>
            </w:r>
          </w:p>
        </w:tc>
        <w:tc>
          <w:tcPr>
            <w:tcW w:w="1814" w:type="dxa"/>
            <w:gridSpan w:val="4"/>
            <w:vAlign w:val="center"/>
          </w:tcPr>
          <w:p w:rsidR="00F84F32" w:rsidRPr="00407000" w:rsidRDefault="00F84F32" w:rsidP="00A21A80">
            <w:pPr>
              <w:widowControl/>
              <w:numPr>
                <w:ilvl w:val="0"/>
                <w:numId w:val="19"/>
              </w:numPr>
              <w:jc w:val="center"/>
              <w:rPr>
                <w:rFonts w:eastAsia="MS Mincho"/>
                <w:spacing w:val="4"/>
                <w:sz w:val="18"/>
                <w:szCs w:val="18"/>
                <w:lang w:eastAsia="en-US"/>
              </w:rPr>
            </w:pP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352</w:t>
            </w:r>
          </w:p>
        </w:tc>
        <w:tc>
          <w:tcPr>
            <w:tcW w:w="754" w:type="dxa"/>
            <w:gridSpan w:val="2"/>
            <w:vAlign w:val="center"/>
          </w:tcPr>
          <w:p w:rsidR="00F84F32" w:rsidRPr="00407000" w:rsidRDefault="00F84F32" w:rsidP="00407000">
            <w:pPr>
              <w:widowControl/>
              <w:ind w:firstLine="0"/>
              <w:jc w:val="center"/>
              <w:rPr>
                <w:rFonts w:eastAsia="MS Mincho"/>
                <w:spacing w:val="4"/>
                <w:sz w:val="16"/>
                <w:szCs w:val="16"/>
                <w:lang w:eastAsia="en-US"/>
              </w:rPr>
            </w:pPr>
          </w:p>
        </w:tc>
      </w:tr>
      <w:tr w:rsidR="00F84F32" w:rsidRPr="00407000" w:rsidTr="00C34BFB">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1.5</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11.</w:t>
            </w:r>
          </w:p>
        </w:tc>
        <w:tc>
          <w:tcPr>
            <w:tcW w:w="2593" w:type="dxa"/>
            <w:vAlign w:val="center"/>
          </w:tcPr>
          <w:p w:rsidR="00F84F32" w:rsidRPr="00407000" w:rsidRDefault="00F84F32" w:rsidP="00407000">
            <w:pPr>
              <w:ind w:firstLine="0"/>
              <w:jc w:val="left"/>
              <w:rPr>
                <w:sz w:val="18"/>
                <w:szCs w:val="18"/>
              </w:rPr>
            </w:pPr>
            <w:r w:rsidRPr="00407000">
              <w:rPr>
                <w:sz w:val="18"/>
                <w:szCs w:val="18"/>
              </w:rPr>
              <w:t>Poskytnutá asistence v oblasti inovací a KKP (počet subjektů)</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33</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40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38</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12.</w:t>
            </w:r>
          </w:p>
        </w:tc>
        <w:tc>
          <w:tcPr>
            <w:tcW w:w="2593" w:type="dxa"/>
            <w:vAlign w:val="center"/>
          </w:tcPr>
          <w:p w:rsidR="00F84F32" w:rsidRPr="00407000" w:rsidRDefault="00F84F32" w:rsidP="00407000">
            <w:pPr>
              <w:ind w:firstLine="0"/>
              <w:jc w:val="left"/>
              <w:rPr>
                <w:sz w:val="18"/>
                <w:szCs w:val="18"/>
              </w:rPr>
            </w:pPr>
            <w:r w:rsidRPr="00407000">
              <w:rPr>
                <w:sz w:val="18"/>
                <w:szCs w:val="18"/>
              </w:rPr>
              <w:t>Počet akcí zaměřených na</w:t>
            </w:r>
            <w:r>
              <w:rPr>
                <w:sz w:val="18"/>
                <w:szCs w:val="18"/>
              </w:rPr>
              <w:t> </w:t>
            </w:r>
            <w:r w:rsidRPr="00407000">
              <w:rPr>
                <w:sz w:val="18"/>
                <w:szCs w:val="18"/>
              </w:rPr>
              <w:t xml:space="preserve">podporu inovací a KKP </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8</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12</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19</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10643" w:type="dxa"/>
            <w:gridSpan w:val="14"/>
            <w:shd w:val="clear" w:color="auto" w:fill="F77D32"/>
            <w:vAlign w:val="center"/>
          </w:tcPr>
          <w:p w:rsidR="00F84F32" w:rsidRPr="00407000" w:rsidRDefault="00F84F32" w:rsidP="00407000">
            <w:pPr>
              <w:widowControl/>
              <w:ind w:firstLine="0"/>
              <w:jc w:val="left"/>
              <w:rPr>
                <w:b/>
                <w:color w:val="FFFFFF"/>
                <w:sz w:val="18"/>
                <w:szCs w:val="18"/>
              </w:rPr>
            </w:pPr>
            <w:r w:rsidRPr="00407000">
              <w:rPr>
                <w:b/>
                <w:color w:val="FFFFFF"/>
                <w:sz w:val="18"/>
                <w:szCs w:val="18"/>
              </w:rPr>
              <w:t>Pilíř 2: Olomouc – perla Evropy</w:t>
            </w:r>
          </w:p>
        </w:tc>
      </w:tr>
      <w:tr w:rsidR="00F84F32" w:rsidRPr="00407000" w:rsidTr="00C34BFB">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2.1</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13.</w:t>
            </w:r>
          </w:p>
        </w:tc>
        <w:tc>
          <w:tcPr>
            <w:tcW w:w="2593" w:type="dxa"/>
            <w:vAlign w:val="center"/>
          </w:tcPr>
          <w:p w:rsidR="00F84F32" w:rsidRPr="00407000" w:rsidRDefault="00F84F32" w:rsidP="00407000">
            <w:pPr>
              <w:ind w:firstLine="0"/>
              <w:jc w:val="left"/>
              <w:rPr>
                <w:sz w:val="18"/>
                <w:szCs w:val="18"/>
              </w:rPr>
            </w:pPr>
            <w:r w:rsidRPr="00407000">
              <w:rPr>
                <w:sz w:val="18"/>
                <w:szCs w:val="18"/>
              </w:rPr>
              <w:t>Počet hostů v hromadných ubytovacích zařízeních</w:t>
            </w:r>
            <w:r>
              <w:rPr>
                <w:rStyle w:val="Znakapoznpodarou"/>
                <w:sz w:val="18"/>
                <w:szCs w:val="18"/>
              </w:rPr>
              <w:t>6</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165 382</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210 000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92 063</w:t>
            </w:r>
          </w:p>
        </w:tc>
        <w:tc>
          <w:tcPr>
            <w:tcW w:w="754" w:type="dxa"/>
            <w:gridSpan w:val="2"/>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14.</w:t>
            </w:r>
          </w:p>
        </w:tc>
        <w:tc>
          <w:tcPr>
            <w:tcW w:w="2593" w:type="dxa"/>
            <w:vAlign w:val="center"/>
          </w:tcPr>
          <w:p w:rsidR="00F84F32" w:rsidRPr="00407000" w:rsidRDefault="00F84F32" w:rsidP="00407000">
            <w:pPr>
              <w:ind w:firstLine="0"/>
              <w:jc w:val="left"/>
              <w:rPr>
                <w:sz w:val="18"/>
                <w:szCs w:val="18"/>
              </w:rPr>
            </w:pPr>
            <w:r w:rsidRPr="00407000">
              <w:rPr>
                <w:sz w:val="18"/>
                <w:szCs w:val="18"/>
              </w:rPr>
              <w:t>Počet přenocování v hromadných ubytovacích zařízeních</w:t>
            </w:r>
            <w:r>
              <w:rPr>
                <w:rStyle w:val="Znakapoznpodarou"/>
                <w:sz w:val="18"/>
                <w:szCs w:val="18"/>
              </w:rPr>
              <w:t>6</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279 930</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340 000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highlight w:val="yellow"/>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highlight w:val="yellow"/>
                <w:lang w:eastAsia="en-US"/>
              </w:rPr>
            </w:pPr>
            <w:r>
              <w:rPr>
                <w:rFonts w:eastAsia="MS Mincho"/>
                <w:spacing w:val="4"/>
                <w:sz w:val="18"/>
                <w:szCs w:val="18"/>
                <w:lang w:eastAsia="en-US"/>
              </w:rPr>
              <w:t>168 386</w:t>
            </w:r>
          </w:p>
        </w:tc>
        <w:tc>
          <w:tcPr>
            <w:tcW w:w="754" w:type="dxa"/>
            <w:gridSpan w:val="2"/>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15.</w:t>
            </w:r>
          </w:p>
        </w:tc>
        <w:tc>
          <w:tcPr>
            <w:tcW w:w="2593" w:type="dxa"/>
            <w:vAlign w:val="center"/>
          </w:tcPr>
          <w:p w:rsidR="00F84F32" w:rsidRPr="00407000" w:rsidRDefault="00F84F32" w:rsidP="00407000">
            <w:pPr>
              <w:ind w:firstLine="0"/>
              <w:jc w:val="left"/>
              <w:rPr>
                <w:sz w:val="18"/>
                <w:szCs w:val="18"/>
              </w:rPr>
            </w:pPr>
            <w:r w:rsidRPr="00407000">
              <w:rPr>
                <w:sz w:val="18"/>
                <w:szCs w:val="18"/>
              </w:rPr>
              <w:t>Počet</w:t>
            </w:r>
            <w:r>
              <w:rPr>
                <w:sz w:val="18"/>
                <w:szCs w:val="18"/>
              </w:rPr>
              <w:t xml:space="preserve"> </w:t>
            </w:r>
            <w:r w:rsidRPr="00D20707">
              <w:rPr>
                <w:sz w:val="18"/>
                <w:szCs w:val="18"/>
              </w:rPr>
              <w:t>akcí v kalendáři na</w:t>
            </w:r>
            <w:r>
              <w:rPr>
                <w:sz w:val="18"/>
                <w:szCs w:val="18"/>
              </w:rPr>
              <w:t> </w:t>
            </w:r>
            <w:r w:rsidRPr="00D20707">
              <w:rPr>
                <w:sz w:val="18"/>
                <w:szCs w:val="18"/>
              </w:rPr>
              <w:t>webových stránkách města</w:t>
            </w:r>
            <w:r>
              <w:rPr>
                <w:rStyle w:val="Znakapoznpodarou"/>
                <w:sz w:val="18"/>
                <w:szCs w:val="18"/>
              </w:rPr>
              <w:t>6</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1 608</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2 500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4 480</w:t>
            </w:r>
          </w:p>
        </w:tc>
        <w:tc>
          <w:tcPr>
            <w:tcW w:w="754" w:type="dxa"/>
            <w:gridSpan w:val="2"/>
            <w:shd w:val="clear" w:color="auto" w:fill="99CC00"/>
            <w:vAlign w:val="center"/>
          </w:tcPr>
          <w:p w:rsidR="00F84F32" w:rsidRPr="00407000" w:rsidRDefault="00F84F32" w:rsidP="00407000">
            <w:pPr>
              <w:widowControl/>
              <w:ind w:firstLine="0"/>
              <w:jc w:val="center"/>
              <w:rPr>
                <w:sz w:val="32"/>
                <w:szCs w:val="18"/>
              </w:rPr>
            </w:pPr>
            <w:r w:rsidRPr="00407000">
              <w:rPr>
                <w:sz w:val="32"/>
                <w:szCs w:val="32"/>
              </w:rPr>
              <w:sym w:font="Wingdings" w:char="F04A"/>
            </w:r>
          </w:p>
        </w:tc>
      </w:tr>
      <w:tr w:rsidR="00F84F32" w:rsidRPr="00407000" w:rsidTr="00C34BFB">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2.2</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16.</w:t>
            </w:r>
          </w:p>
        </w:tc>
        <w:tc>
          <w:tcPr>
            <w:tcW w:w="2593" w:type="dxa"/>
            <w:vAlign w:val="center"/>
          </w:tcPr>
          <w:p w:rsidR="00F84F32" w:rsidRPr="00407000" w:rsidRDefault="00F84F32" w:rsidP="00407000">
            <w:pPr>
              <w:ind w:firstLine="0"/>
              <w:jc w:val="left"/>
              <w:rPr>
                <w:sz w:val="18"/>
                <w:szCs w:val="18"/>
              </w:rPr>
            </w:pPr>
            <w:r w:rsidRPr="00407000">
              <w:rPr>
                <w:sz w:val="18"/>
                <w:szCs w:val="18"/>
              </w:rPr>
              <w:t>Zpracování Koncepce rozvoje a</w:t>
            </w:r>
            <w:r>
              <w:rPr>
                <w:sz w:val="18"/>
                <w:szCs w:val="18"/>
              </w:rPr>
              <w:t> </w:t>
            </w:r>
            <w:r w:rsidRPr="00407000">
              <w:rPr>
                <w:sz w:val="18"/>
                <w:szCs w:val="18"/>
              </w:rPr>
              <w:t>podpory kultury a sportu města Olomouce (A/N)</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w:t>
            </w:r>
          </w:p>
        </w:tc>
        <w:tc>
          <w:tcPr>
            <w:tcW w:w="754" w:type="dxa"/>
            <w:gridSpan w:val="2"/>
            <w:shd w:val="clear" w:color="auto" w:fill="FFC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B"/>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17.</w:t>
            </w:r>
          </w:p>
        </w:tc>
        <w:tc>
          <w:tcPr>
            <w:tcW w:w="2593" w:type="dxa"/>
            <w:vAlign w:val="center"/>
          </w:tcPr>
          <w:p w:rsidR="00F84F32" w:rsidRPr="00407000" w:rsidRDefault="00F84F32" w:rsidP="00407000">
            <w:pPr>
              <w:ind w:firstLine="0"/>
              <w:jc w:val="left"/>
              <w:rPr>
                <w:sz w:val="18"/>
                <w:szCs w:val="18"/>
              </w:rPr>
            </w:pPr>
            <w:r w:rsidRPr="00407000">
              <w:rPr>
                <w:sz w:val="18"/>
                <w:szCs w:val="18"/>
              </w:rPr>
              <w:t>Počet návštěvníků vybraných zařízení cestovního ruchu, kultury a sportu</w:t>
            </w:r>
            <w:r>
              <w:rPr>
                <w:rStyle w:val="Znakapoznpodarou"/>
                <w:sz w:val="18"/>
                <w:szCs w:val="18"/>
              </w:rPr>
              <w:t>6</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1 152 049</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1 335 000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9F2FA8">
            <w:pPr>
              <w:widowControl/>
              <w:ind w:firstLine="0"/>
              <w:jc w:val="center"/>
              <w:rPr>
                <w:rFonts w:eastAsia="MS Mincho"/>
                <w:spacing w:val="4"/>
                <w:sz w:val="18"/>
                <w:szCs w:val="18"/>
                <w:lang w:eastAsia="en-US"/>
              </w:rPr>
            </w:pPr>
            <w:r w:rsidRPr="00407000">
              <w:rPr>
                <w:rFonts w:eastAsia="MS Mincho"/>
                <w:spacing w:val="4"/>
                <w:sz w:val="18"/>
                <w:szCs w:val="18"/>
                <w:lang w:eastAsia="en-US"/>
              </w:rPr>
              <w:t>1</w:t>
            </w:r>
            <w:r>
              <w:rPr>
                <w:rFonts w:eastAsia="MS Mincho"/>
                <w:spacing w:val="4"/>
                <w:sz w:val="18"/>
                <w:szCs w:val="18"/>
                <w:lang w:eastAsia="en-US"/>
              </w:rPr>
              <w:t> 061 828</w:t>
            </w:r>
          </w:p>
        </w:tc>
        <w:tc>
          <w:tcPr>
            <w:tcW w:w="754" w:type="dxa"/>
            <w:gridSpan w:val="2"/>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C34BFB">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2.3</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18.</w:t>
            </w:r>
          </w:p>
        </w:tc>
        <w:tc>
          <w:tcPr>
            <w:tcW w:w="2593" w:type="dxa"/>
            <w:vAlign w:val="center"/>
          </w:tcPr>
          <w:p w:rsidR="00F84F32" w:rsidRPr="00407000" w:rsidRDefault="00F84F32" w:rsidP="00407000">
            <w:pPr>
              <w:ind w:firstLine="0"/>
              <w:jc w:val="left"/>
              <w:rPr>
                <w:sz w:val="18"/>
                <w:szCs w:val="18"/>
              </w:rPr>
            </w:pPr>
            <w:r w:rsidRPr="00407000">
              <w:rPr>
                <w:sz w:val="18"/>
                <w:szCs w:val="18"/>
              </w:rPr>
              <w:t>Rozloha revitalizovaného území podél vodních ploch (m</w:t>
            </w:r>
            <w:r w:rsidRPr="00407000">
              <w:rPr>
                <w:sz w:val="18"/>
                <w:szCs w:val="18"/>
                <w:vertAlign w:val="superscript"/>
              </w:rPr>
              <w:t>2</w:t>
            </w:r>
            <w:r w:rsidRPr="00407000">
              <w:rPr>
                <w:sz w:val="18"/>
                <w:szCs w:val="18"/>
              </w:rPr>
              <w:t>)</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n.a.</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754" w:type="dxa"/>
            <w:gridSpan w:val="2"/>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19.</w:t>
            </w:r>
          </w:p>
        </w:tc>
        <w:tc>
          <w:tcPr>
            <w:tcW w:w="2593" w:type="dxa"/>
            <w:vAlign w:val="center"/>
          </w:tcPr>
          <w:p w:rsidR="00F84F32" w:rsidRPr="00407000" w:rsidRDefault="00F84F32" w:rsidP="00407000">
            <w:pPr>
              <w:ind w:firstLine="0"/>
              <w:jc w:val="left"/>
              <w:rPr>
                <w:sz w:val="18"/>
                <w:szCs w:val="18"/>
              </w:rPr>
            </w:pPr>
            <w:r w:rsidRPr="00407000">
              <w:rPr>
                <w:sz w:val="18"/>
                <w:szCs w:val="18"/>
              </w:rPr>
              <w:t>Počet zrekonstruovaných a nově vystavěných sportovních, kulturních a volnočasových zařízení (počet kumulovaný)</w:t>
            </w:r>
            <w:r w:rsidRPr="00407000">
              <w:rPr>
                <w:rStyle w:val="Znakapoznpodarou"/>
                <w:sz w:val="18"/>
                <w:szCs w:val="18"/>
              </w:rPr>
              <w:footnoteReference w:id="7"/>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A/27, B/12, C/3, D/2</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A/27, B/14, C/4, D/4</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C405FE" w:rsidRDefault="00F84F32" w:rsidP="00407000">
            <w:pPr>
              <w:widowControl/>
              <w:ind w:firstLine="0"/>
              <w:jc w:val="center"/>
              <w:rPr>
                <w:rFonts w:eastAsia="MS Mincho"/>
                <w:spacing w:val="4"/>
                <w:sz w:val="18"/>
                <w:szCs w:val="18"/>
                <w:lang w:eastAsia="en-US"/>
              </w:rPr>
            </w:pPr>
            <w:r w:rsidRPr="00C405FE">
              <w:rPr>
                <w:rFonts w:eastAsia="MS Mincho"/>
                <w:spacing w:val="4"/>
                <w:sz w:val="18"/>
                <w:szCs w:val="18"/>
                <w:lang w:eastAsia="en-US"/>
              </w:rPr>
              <w:t>A/27, B/12, C/3, D/2</w:t>
            </w:r>
          </w:p>
        </w:tc>
        <w:tc>
          <w:tcPr>
            <w:tcW w:w="754" w:type="dxa"/>
            <w:gridSpan w:val="2"/>
            <w:shd w:val="clear" w:color="auto" w:fill="FFC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B"/>
            </w:r>
          </w:p>
        </w:tc>
      </w:tr>
      <w:tr w:rsidR="00F84F32" w:rsidRPr="00407000" w:rsidTr="00C34BFB">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2.4</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20.</w:t>
            </w:r>
          </w:p>
        </w:tc>
        <w:tc>
          <w:tcPr>
            <w:tcW w:w="2593" w:type="dxa"/>
            <w:vAlign w:val="center"/>
          </w:tcPr>
          <w:p w:rsidR="00F84F32" w:rsidRPr="00407000" w:rsidRDefault="00F84F32" w:rsidP="00407000">
            <w:pPr>
              <w:ind w:firstLine="0"/>
              <w:jc w:val="left"/>
              <w:rPr>
                <w:sz w:val="18"/>
                <w:szCs w:val="18"/>
              </w:rPr>
            </w:pPr>
            <w:r w:rsidRPr="00407000">
              <w:rPr>
                <w:sz w:val="18"/>
                <w:szCs w:val="18"/>
              </w:rPr>
              <w:t>Délka rekonstruovaných a nově vybudovaných cyklostezek (m, kumulovaný)</w:t>
            </w:r>
          </w:p>
        </w:tc>
        <w:tc>
          <w:tcPr>
            <w:tcW w:w="1814" w:type="dxa"/>
            <w:gridSpan w:val="4"/>
            <w:vAlign w:val="center"/>
          </w:tcPr>
          <w:p w:rsidR="00F84F32" w:rsidRPr="00407000" w:rsidRDefault="00F84F32" w:rsidP="00407000">
            <w:pPr>
              <w:widowControl/>
              <w:ind w:firstLine="0"/>
              <w:jc w:val="center"/>
              <w:rPr>
                <w:color w:val="000000"/>
                <w:sz w:val="18"/>
                <w:szCs w:val="18"/>
              </w:rPr>
            </w:pPr>
            <w:r w:rsidRPr="00407000">
              <w:rPr>
                <w:color w:val="000000"/>
                <w:sz w:val="18"/>
                <w:szCs w:val="18"/>
              </w:rPr>
              <w:t>1 726</w:t>
            </w:r>
          </w:p>
        </w:tc>
        <w:tc>
          <w:tcPr>
            <w:tcW w:w="1177" w:type="dxa"/>
            <w:vAlign w:val="center"/>
          </w:tcPr>
          <w:p w:rsidR="00F84F32" w:rsidRPr="00407000" w:rsidRDefault="00F84F32" w:rsidP="00407000">
            <w:pPr>
              <w:widowControl/>
              <w:ind w:firstLine="0"/>
              <w:jc w:val="center"/>
              <w:rPr>
                <w:color w:val="000000"/>
                <w:sz w:val="18"/>
                <w:szCs w:val="18"/>
              </w:rPr>
            </w:pPr>
            <w:r w:rsidRPr="00407000">
              <w:rPr>
                <w:color w:val="000000"/>
                <w:sz w:val="18"/>
                <w:szCs w:val="18"/>
              </w:rPr>
              <w:t>7 754</w:t>
            </w:r>
          </w:p>
        </w:tc>
        <w:tc>
          <w:tcPr>
            <w:tcW w:w="1235" w:type="dxa"/>
            <w:gridSpan w:val="2"/>
            <w:vAlign w:val="center"/>
          </w:tcPr>
          <w:p w:rsidR="00F84F32" w:rsidRPr="00407000" w:rsidRDefault="00F84F32" w:rsidP="00407000">
            <w:pPr>
              <w:widowControl/>
              <w:ind w:firstLine="0"/>
              <w:jc w:val="center"/>
              <w:rPr>
                <w:color w:val="000000"/>
                <w:sz w:val="18"/>
                <w:szCs w:val="18"/>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color w:val="000000"/>
                <w:sz w:val="18"/>
                <w:szCs w:val="18"/>
              </w:rPr>
            </w:pPr>
            <w:r>
              <w:rPr>
                <w:color w:val="000000"/>
                <w:sz w:val="18"/>
                <w:szCs w:val="18"/>
              </w:rPr>
              <w:t>9 366</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21.</w:t>
            </w:r>
          </w:p>
        </w:tc>
        <w:tc>
          <w:tcPr>
            <w:tcW w:w="2593" w:type="dxa"/>
            <w:vAlign w:val="center"/>
          </w:tcPr>
          <w:p w:rsidR="00F84F32" w:rsidRPr="00407000" w:rsidRDefault="00F84F32" w:rsidP="00407000">
            <w:pPr>
              <w:ind w:firstLine="0"/>
              <w:jc w:val="left"/>
              <w:rPr>
                <w:sz w:val="18"/>
                <w:szCs w:val="18"/>
              </w:rPr>
            </w:pPr>
            <w:r w:rsidRPr="00407000">
              <w:rPr>
                <w:sz w:val="18"/>
                <w:szCs w:val="18"/>
              </w:rPr>
              <w:t>Počet nově vybudovaných míst pro parkování kol (počet, kumulovaný)</w:t>
            </w:r>
          </w:p>
        </w:tc>
        <w:tc>
          <w:tcPr>
            <w:tcW w:w="1814"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29</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150</w:t>
            </w:r>
          </w:p>
        </w:tc>
        <w:tc>
          <w:tcPr>
            <w:tcW w:w="123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352</w:t>
            </w:r>
          </w:p>
        </w:tc>
        <w:tc>
          <w:tcPr>
            <w:tcW w:w="754" w:type="dxa"/>
            <w:gridSpan w:val="2"/>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C34BFB">
        <w:tc>
          <w:tcPr>
            <w:tcW w:w="560" w:type="dxa"/>
            <w:tcBorders>
              <w:bottom w:val="single" w:sz="12" w:space="0" w:color="000000"/>
            </w:tcBorders>
            <w:vAlign w:val="center"/>
          </w:tcPr>
          <w:p w:rsidR="00F84F32" w:rsidRPr="00407000" w:rsidRDefault="00F84F32" w:rsidP="00407000">
            <w:pPr>
              <w:ind w:firstLine="0"/>
              <w:jc w:val="center"/>
              <w:rPr>
                <w:color w:val="000000"/>
                <w:sz w:val="18"/>
                <w:szCs w:val="18"/>
              </w:rPr>
            </w:pPr>
            <w:r w:rsidRPr="00407000">
              <w:rPr>
                <w:color w:val="000000"/>
                <w:sz w:val="18"/>
                <w:szCs w:val="18"/>
              </w:rPr>
              <w:t>2.5</w:t>
            </w: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22.</w:t>
            </w:r>
          </w:p>
        </w:tc>
        <w:tc>
          <w:tcPr>
            <w:tcW w:w="2593"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Počet návštěvníků vybraných zařízení cestovního ruchu, kultury a sportu</w:t>
            </w:r>
            <w:r>
              <w:rPr>
                <w:rStyle w:val="Znakapoznpodarou"/>
                <w:sz w:val="18"/>
                <w:szCs w:val="18"/>
              </w:rPr>
              <w:t>6</w:t>
            </w:r>
          </w:p>
          <w:p w:rsidR="00F84F32" w:rsidRPr="00407000" w:rsidRDefault="00F84F32" w:rsidP="00407000">
            <w:pPr>
              <w:ind w:firstLine="0"/>
              <w:jc w:val="left"/>
              <w:rPr>
                <w:i/>
                <w:sz w:val="18"/>
                <w:szCs w:val="18"/>
              </w:rPr>
            </w:pPr>
            <w:r w:rsidRPr="00407000">
              <w:rPr>
                <w:i/>
                <w:sz w:val="18"/>
                <w:szCs w:val="18"/>
              </w:rPr>
              <w:t>– Indikátor shodný s </w:t>
            </w:r>
            <w:r>
              <w:rPr>
                <w:i/>
                <w:sz w:val="18"/>
                <w:szCs w:val="18"/>
              </w:rPr>
              <w:t>MI</w:t>
            </w:r>
            <w:r w:rsidRPr="00407000">
              <w:rPr>
                <w:i/>
                <w:sz w:val="18"/>
                <w:szCs w:val="18"/>
              </w:rPr>
              <w:t xml:space="preserve"> č. 17.</w:t>
            </w:r>
          </w:p>
        </w:tc>
        <w:tc>
          <w:tcPr>
            <w:tcW w:w="1814" w:type="dxa"/>
            <w:gridSpan w:val="4"/>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1 152 049</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1 335 000</w:t>
            </w:r>
          </w:p>
        </w:tc>
        <w:tc>
          <w:tcPr>
            <w:tcW w:w="1235" w:type="dxa"/>
            <w:gridSpan w:val="2"/>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83" w:type="dxa"/>
            <w:gridSpan w:val="2"/>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w:t>
            </w:r>
            <w:r>
              <w:rPr>
                <w:rFonts w:eastAsia="MS Mincho"/>
                <w:spacing w:val="4"/>
                <w:sz w:val="18"/>
                <w:szCs w:val="18"/>
                <w:lang w:eastAsia="en-US"/>
              </w:rPr>
              <w:t>061 828</w:t>
            </w:r>
          </w:p>
        </w:tc>
        <w:tc>
          <w:tcPr>
            <w:tcW w:w="754" w:type="dxa"/>
            <w:gridSpan w:val="2"/>
            <w:tcBorders>
              <w:bottom w:val="single" w:sz="12" w:space="0" w:color="000000"/>
            </w:tcBorders>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C34BFB">
        <w:tc>
          <w:tcPr>
            <w:tcW w:w="10643" w:type="dxa"/>
            <w:gridSpan w:val="14"/>
            <w:shd w:val="clear" w:color="auto" w:fill="769223"/>
            <w:vAlign w:val="center"/>
          </w:tcPr>
          <w:p w:rsidR="00F84F32" w:rsidRPr="00407000" w:rsidRDefault="00F84F32" w:rsidP="00407000">
            <w:pPr>
              <w:widowControl/>
              <w:ind w:firstLine="0"/>
              <w:jc w:val="left"/>
              <w:rPr>
                <w:b/>
                <w:color w:val="FFFFFF"/>
                <w:sz w:val="18"/>
                <w:szCs w:val="18"/>
              </w:rPr>
            </w:pPr>
            <w:r w:rsidRPr="00407000">
              <w:rPr>
                <w:b/>
                <w:color w:val="FFFFFF"/>
                <w:sz w:val="18"/>
                <w:szCs w:val="18"/>
              </w:rPr>
              <w:lastRenderedPageBreak/>
              <w:t>Pilíř 3: Udržitelná Olomouc</w:t>
            </w:r>
          </w:p>
        </w:tc>
      </w:tr>
      <w:tr w:rsidR="00F84F32" w:rsidRPr="00407000" w:rsidTr="00C34BFB">
        <w:tc>
          <w:tcPr>
            <w:tcW w:w="560" w:type="dxa"/>
            <w:vAlign w:val="center"/>
          </w:tcPr>
          <w:p w:rsidR="00F84F32" w:rsidRPr="00407000" w:rsidRDefault="00F84F32" w:rsidP="00407000">
            <w:pPr>
              <w:ind w:firstLine="0"/>
              <w:jc w:val="center"/>
              <w:rPr>
                <w:color w:val="000000"/>
                <w:sz w:val="18"/>
                <w:szCs w:val="18"/>
              </w:rPr>
            </w:pPr>
            <w:r w:rsidRPr="00407000">
              <w:rPr>
                <w:color w:val="000000"/>
                <w:sz w:val="18"/>
                <w:szCs w:val="18"/>
              </w:rPr>
              <w:t>3.1</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w:t>
            </w:r>
          </w:p>
        </w:tc>
        <w:tc>
          <w:tcPr>
            <w:tcW w:w="9456" w:type="dxa"/>
            <w:gridSpan w:val="12"/>
            <w:vAlign w:val="center"/>
          </w:tcPr>
          <w:p w:rsidR="00F84F32" w:rsidRPr="00407000" w:rsidRDefault="00F84F32" w:rsidP="00407000">
            <w:pPr>
              <w:ind w:firstLine="0"/>
              <w:jc w:val="left"/>
              <w:rPr>
                <w:sz w:val="18"/>
                <w:szCs w:val="18"/>
              </w:rPr>
            </w:pPr>
            <w:r w:rsidRPr="00407000">
              <w:rPr>
                <w:sz w:val="18"/>
                <w:szCs w:val="18"/>
              </w:rPr>
              <w:t xml:space="preserve">Indikátory budou sledovány a vyhodnocovány v rámci Plánu udržitelné městské mobility Olomouc, v němž jsou stanoveny. </w:t>
            </w:r>
          </w:p>
        </w:tc>
      </w:tr>
      <w:tr w:rsidR="00F84F32" w:rsidRPr="00407000" w:rsidTr="00007220">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3.2</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23.</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Délka rekonstruovaných místních komunikací za účelem zlepšení bezbariérovosti a bezpečnosti (km)</w:t>
            </w:r>
          </w:p>
        </w:tc>
        <w:tc>
          <w:tcPr>
            <w:tcW w:w="1741"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7,00</w:t>
            </w:r>
          </w:p>
        </w:tc>
        <w:tc>
          <w:tcPr>
            <w:tcW w:w="1275" w:type="dxa"/>
            <w:gridSpan w:val="2"/>
            <w:vAlign w:val="center"/>
          </w:tcPr>
          <w:p w:rsidR="00F84F32" w:rsidRPr="00407000" w:rsidRDefault="00F84F32" w:rsidP="00407000">
            <w:pPr>
              <w:widowControl/>
              <w:ind w:firstLine="0"/>
              <w:jc w:val="center"/>
              <w:rPr>
                <w:color w:val="000000"/>
                <w:sz w:val="18"/>
                <w:szCs w:val="18"/>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color w:val="000000"/>
                <w:sz w:val="18"/>
                <w:szCs w:val="18"/>
              </w:rPr>
            </w:pPr>
            <w:r w:rsidRPr="00407000">
              <w:rPr>
                <w:color w:val="000000"/>
                <w:sz w:val="18"/>
                <w:szCs w:val="18"/>
              </w:rPr>
              <w:t>3,</w:t>
            </w:r>
            <w:r>
              <w:rPr>
                <w:color w:val="000000"/>
                <w:sz w:val="18"/>
                <w:szCs w:val="18"/>
              </w:rPr>
              <w:t>91</w:t>
            </w:r>
          </w:p>
        </w:tc>
        <w:tc>
          <w:tcPr>
            <w:tcW w:w="709" w:type="dxa"/>
            <w:shd w:val="clear" w:color="auto" w:fill="99CC00"/>
            <w:vAlign w:val="center"/>
          </w:tcPr>
          <w:p w:rsidR="00F84F32" w:rsidRPr="00407000" w:rsidRDefault="00F84F32" w:rsidP="00407000">
            <w:pPr>
              <w:widowControl/>
              <w:ind w:firstLine="0"/>
              <w:jc w:val="center"/>
              <w:rPr>
                <w:sz w:val="16"/>
                <w:szCs w:val="16"/>
              </w:rPr>
            </w:pPr>
            <w:r w:rsidRPr="00407000">
              <w:rPr>
                <w:sz w:val="32"/>
                <w:szCs w:val="32"/>
              </w:rPr>
              <w:sym w:font="Wingdings" w:char="F04A"/>
            </w:r>
          </w:p>
        </w:tc>
      </w:tr>
      <w:tr w:rsidR="00F84F32" w:rsidRPr="00407000" w:rsidTr="00007220">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24.</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Počet odstraněných bariér ve městě (počet, kumulovaný)</w:t>
            </w:r>
          </w:p>
        </w:tc>
        <w:tc>
          <w:tcPr>
            <w:tcW w:w="1741" w:type="dxa"/>
            <w:gridSpan w:val="2"/>
            <w:vAlign w:val="center"/>
          </w:tcPr>
          <w:p w:rsidR="00F84F32" w:rsidRPr="00407000" w:rsidRDefault="00F84F32" w:rsidP="00407000">
            <w:pPr>
              <w:widowControl/>
              <w:ind w:firstLine="0"/>
              <w:jc w:val="center"/>
              <w:rPr>
                <w:sz w:val="18"/>
                <w:szCs w:val="18"/>
              </w:rPr>
            </w:pPr>
            <w:r w:rsidRPr="00407000">
              <w:rPr>
                <w:sz w:val="18"/>
                <w:szCs w:val="18"/>
              </w:rPr>
              <w:t>0</w:t>
            </w:r>
          </w:p>
        </w:tc>
        <w:tc>
          <w:tcPr>
            <w:tcW w:w="1236" w:type="dxa"/>
            <w:gridSpan w:val="3"/>
            <w:vAlign w:val="center"/>
          </w:tcPr>
          <w:p w:rsidR="00F84F32" w:rsidRPr="00407000" w:rsidRDefault="00F84F32" w:rsidP="00407000">
            <w:pPr>
              <w:widowControl/>
              <w:ind w:firstLine="0"/>
              <w:jc w:val="center"/>
              <w:rPr>
                <w:sz w:val="18"/>
                <w:szCs w:val="18"/>
              </w:rPr>
            </w:pPr>
            <w:r w:rsidRPr="00407000">
              <w:rPr>
                <w:sz w:val="18"/>
                <w:szCs w:val="18"/>
              </w:rPr>
              <w:t>70</w:t>
            </w:r>
          </w:p>
        </w:tc>
        <w:tc>
          <w:tcPr>
            <w:tcW w:w="1275" w:type="dxa"/>
            <w:gridSpan w:val="2"/>
            <w:vAlign w:val="center"/>
          </w:tcPr>
          <w:p w:rsidR="00F84F32" w:rsidRPr="00407000" w:rsidRDefault="00F84F32" w:rsidP="00407000">
            <w:pPr>
              <w:widowControl/>
              <w:ind w:firstLine="0"/>
              <w:jc w:val="center"/>
              <w:rPr>
                <w:sz w:val="18"/>
                <w:szCs w:val="18"/>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sz w:val="18"/>
                <w:szCs w:val="18"/>
              </w:rPr>
            </w:pPr>
            <w:r>
              <w:rPr>
                <w:sz w:val="18"/>
                <w:szCs w:val="18"/>
              </w:rPr>
              <w:t>146</w:t>
            </w:r>
          </w:p>
        </w:tc>
        <w:tc>
          <w:tcPr>
            <w:tcW w:w="709"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007220">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25.</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 xml:space="preserve">Počet vybudovaných bezpečnostních opatření </w:t>
            </w:r>
          </w:p>
        </w:tc>
        <w:tc>
          <w:tcPr>
            <w:tcW w:w="1741" w:type="dxa"/>
            <w:gridSpan w:val="2"/>
            <w:vAlign w:val="center"/>
          </w:tcPr>
          <w:p w:rsidR="00F84F32" w:rsidRPr="00407000" w:rsidRDefault="00F84F32" w:rsidP="00407000">
            <w:pPr>
              <w:widowControl/>
              <w:ind w:firstLine="0"/>
              <w:jc w:val="center"/>
              <w:rPr>
                <w:sz w:val="18"/>
                <w:szCs w:val="18"/>
              </w:rPr>
            </w:pPr>
            <w:r w:rsidRPr="00407000">
              <w:rPr>
                <w:sz w:val="18"/>
                <w:szCs w:val="18"/>
              </w:rPr>
              <w:t>12</w:t>
            </w:r>
          </w:p>
        </w:tc>
        <w:tc>
          <w:tcPr>
            <w:tcW w:w="1236" w:type="dxa"/>
            <w:gridSpan w:val="3"/>
            <w:vAlign w:val="center"/>
          </w:tcPr>
          <w:p w:rsidR="00F84F32" w:rsidRPr="00407000" w:rsidRDefault="00F84F32" w:rsidP="00407000">
            <w:pPr>
              <w:widowControl/>
              <w:ind w:firstLine="0"/>
              <w:jc w:val="center"/>
              <w:rPr>
                <w:sz w:val="18"/>
                <w:szCs w:val="18"/>
              </w:rPr>
            </w:pPr>
            <w:r w:rsidRPr="00407000">
              <w:rPr>
                <w:sz w:val="18"/>
                <w:szCs w:val="18"/>
              </w:rPr>
              <w:t>12</w:t>
            </w:r>
          </w:p>
        </w:tc>
        <w:tc>
          <w:tcPr>
            <w:tcW w:w="1275" w:type="dxa"/>
            <w:gridSpan w:val="2"/>
            <w:vAlign w:val="center"/>
          </w:tcPr>
          <w:p w:rsidR="00F84F32" w:rsidRPr="00407000" w:rsidRDefault="00F84F32" w:rsidP="00407000">
            <w:pPr>
              <w:widowControl/>
              <w:ind w:firstLine="0"/>
              <w:jc w:val="center"/>
              <w:rPr>
                <w:sz w:val="18"/>
                <w:szCs w:val="18"/>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sz w:val="18"/>
                <w:szCs w:val="18"/>
              </w:rPr>
            </w:pPr>
            <w:r w:rsidRPr="00407000">
              <w:rPr>
                <w:sz w:val="18"/>
                <w:szCs w:val="18"/>
              </w:rPr>
              <w:t>1</w:t>
            </w:r>
            <w:r>
              <w:rPr>
                <w:sz w:val="18"/>
                <w:szCs w:val="18"/>
              </w:rPr>
              <w:t>1</w:t>
            </w:r>
          </w:p>
        </w:tc>
        <w:tc>
          <w:tcPr>
            <w:tcW w:w="709" w:type="dxa"/>
            <w:shd w:val="clear" w:color="auto" w:fill="FFC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B"/>
            </w:r>
          </w:p>
        </w:tc>
      </w:tr>
      <w:tr w:rsidR="00F84F32" w:rsidRPr="00407000" w:rsidTr="00007220">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26.</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Počet akcí a účastníků vzdělávacích akcí realizovaných za účelem zvýšení bezpečnosti</w:t>
            </w:r>
            <w:r>
              <w:rPr>
                <w:rStyle w:val="Znakapoznpodarou"/>
                <w:sz w:val="18"/>
                <w:szCs w:val="18"/>
              </w:rPr>
              <w:footnoteReference w:id="8"/>
            </w:r>
          </w:p>
        </w:tc>
        <w:tc>
          <w:tcPr>
            <w:tcW w:w="1741" w:type="dxa"/>
            <w:gridSpan w:val="2"/>
            <w:vAlign w:val="center"/>
          </w:tcPr>
          <w:p w:rsidR="00F84F32" w:rsidRPr="00407000" w:rsidRDefault="00F84F32" w:rsidP="00407000">
            <w:pPr>
              <w:widowControl/>
              <w:ind w:firstLine="0"/>
              <w:jc w:val="center"/>
              <w:rPr>
                <w:sz w:val="18"/>
                <w:szCs w:val="18"/>
              </w:rPr>
            </w:pPr>
            <w:r w:rsidRPr="00407000">
              <w:rPr>
                <w:sz w:val="18"/>
                <w:szCs w:val="18"/>
              </w:rPr>
              <w:t>3 / 6 500</w:t>
            </w:r>
          </w:p>
        </w:tc>
        <w:tc>
          <w:tcPr>
            <w:tcW w:w="1236" w:type="dxa"/>
            <w:gridSpan w:val="3"/>
            <w:vAlign w:val="center"/>
          </w:tcPr>
          <w:p w:rsidR="00F84F32" w:rsidRPr="00407000" w:rsidRDefault="00F84F32" w:rsidP="00407000">
            <w:pPr>
              <w:widowControl/>
              <w:ind w:firstLine="0"/>
              <w:jc w:val="center"/>
              <w:rPr>
                <w:sz w:val="18"/>
                <w:szCs w:val="18"/>
              </w:rPr>
            </w:pPr>
            <w:r w:rsidRPr="00407000">
              <w:rPr>
                <w:sz w:val="18"/>
                <w:szCs w:val="18"/>
              </w:rPr>
              <w:t>5 / 8 500</w:t>
            </w:r>
          </w:p>
        </w:tc>
        <w:tc>
          <w:tcPr>
            <w:tcW w:w="1275" w:type="dxa"/>
            <w:gridSpan w:val="2"/>
            <w:vAlign w:val="center"/>
          </w:tcPr>
          <w:p w:rsidR="00F84F32" w:rsidRPr="00407000" w:rsidRDefault="00F84F32" w:rsidP="00407000">
            <w:pPr>
              <w:widowControl/>
              <w:ind w:firstLine="0"/>
              <w:jc w:val="center"/>
              <w:rPr>
                <w:sz w:val="18"/>
                <w:szCs w:val="18"/>
              </w:rPr>
            </w:pPr>
            <w:r w:rsidRPr="00407000">
              <w:rPr>
                <w:rFonts w:eastAsia="MS Mincho"/>
                <w:spacing w:val="4"/>
                <w:sz w:val="18"/>
                <w:szCs w:val="18"/>
                <w:lang w:eastAsia="en-US"/>
              </w:rPr>
              <w:t>↑</w:t>
            </w:r>
          </w:p>
        </w:tc>
        <w:tc>
          <w:tcPr>
            <w:tcW w:w="1843" w:type="dxa"/>
            <w:gridSpan w:val="2"/>
            <w:vAlign w:val="center"/>
          </w:tcPr>
          <w:p w:rsidR="00F84F32" w:rsidRPr="00407000" w:rsidRDefault="00F84F32" w:rsidP="006F0AF1">
            <w:pPr>
              <w:widowControl/>
              <w:ind w:firstLine="0"/>
              <w:jc w:val="center"/>
              <w:rPr>
                <w:sz w:val="18"/>
                <w:szCs w:val="18"/>
              </w:rPr>
            </w:pPr>
            <w:r>
              <w:rPr>
                <w:sz w:val="18"/>
                <w:szCs w:val="18"/>
              </w:rPr>
              <w:t>1 / 300</w:t>
            </w:r>
          </w:p>
        </w:tc>
        <w:tc>
          <w:tcPr>
            <w:tcW w:w="709" w:type="dxa"/>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007220">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27.</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Podíl bezbariérových vozů a plně bezbariérových vozů MHD (%)</w:t>
            </w:r>
          </w:p>
        </w:tc>
        <w:tc>
          <w:tcPr>
            <w:tcW w:w="1741" w:type="dxa"/>
            <w:gridSpan w:val="2"/>
            <w:vAlign w:val="center"/>
          </w:tcPr>
          <w:p w:rsidR="00F84F32" w:rsidRPr="00407000" w:rsidRDefault="00F84F32" w:rsidP="00407000">
            <w:pPr>
              <w:widowControl/>
              <w:ind w:firstLine="0"/>
              <w:jc w:val="center"/>
              <w:rPr>
                <w:sz w:val="18"/>
                <w:szCs w:val="18"/>
              </w:rPr>
            </w:pPr>
            <w:r w:rsidRPr="00407000">
              <w:rPr>
                <w:sz w:val="18"/>
                <w:szCs w:val="18"/>
              </w:rPr>
              <w:t>BV / 80</w:t>
            </w:r>
          </w:p>
          <w:p w:rsidR="00F84F32" w:rsidRPr="00407000" w:rsidRDefault="00F84F32" w:rsidP="00407000">
            <w:pPr>
              <w:widowControl/>
              <w:ind w:firstLine="0"/>
              <w:jc w:val="center"/>
              <w:rPr>
                <w:sz w:val="18"/>
                <w:szCs w:val="18"/>
              </w:rPr>
            </w:pPr>
            <w:r w:rsidRPr="00407000">
              <w:rPr>
                <w:sz w:val="18"/>
                <w:szCs w:val="18"/>
              </w:rPr>
              <w:t>PBV / 53</w:t>
            </w:r>
          </w:p>
        </w:tc>
        <w:tc>
          <w:tcPr>
            <w:tcW w:w="1236" w:type="dxa"/>
            <w:gridSpan w:val="3"/>
            <w:vAlign w:val="center"/>
          </w:tcPr>
          <w:p w:rsidR="00F84F32" w:rsidRPr="00407000" w:rsidRDefault="00F84F32" w:rsidP="00407000">
            <w:pPr>
              <w:widowControl/>
              <w:ind w:firstLine="0"/>
              <w:jc w:val="center"/>
              <w:rPr>
                <w:sz w:val="18"/>
                <w:szCs w:val="18"/>
              </w:rPr>
            </w:pPr>
            <w:r w:rsidRPr="00407000">
              <w:rPr>
                <w:sz w:val="18"/>
                <w:szCs w:val="18"/>
              </w:rPr>
              <w:t>BV / 94</w:t>
            </w:r>
          </w:p>
          <w:p w:rsidR="00F84F32" w:rsidRPr="00407000" w:rsidRDefault="00F84F32" w:rsidP="00407000">
            <w:pPr>
              <w:widowControl/>
              <w:ind w:firstLine="0"/>
              <w:jc w:val="center"/>
              <w:rPr>
                <w:sz w:val="18"/>
                <w:szCs w:val="18"/>
              </w:rPr>
            </w:pPr>
            <w:r w:rsidRPr="00407000">
              <w:rPr>
                <w:sz w:val="18"/>
                <w:szCs w:val="18"/>
              </w:rPr>
              <w:t>PBV / 60</w:t>
            </w:r>
          </w:p>
        </w:tc>
        <w:tc>
          <w:tcPr>
            <w:tcW w:w="1275" w:type="dxa"/>
            <w:gridSpan w:val="2"/>
            <w:vAlign w:val="center"/>
          </w:tcPr>
          <w:p w:rsidR="00F84F32" w:rsidRPr="00407000" w:rsidRDefault="00F84F32" w:rsidP="00407000">
            <w:pPr>
              <w:widowControl/>
              <w:ind w:firstLine="0"/>
              <w:jc w:val="center"/>
              <w:rPr>
                <w:sz w:val="18"/>
                <w:szCs w:val="18"/>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sz w:val="18"/>
                <w:szCs w:val="18"/>
              </w:rPr>
            </w:pPr>
            <w:r w:rsidRPr="00407000">
              <w:rPr>
                <w:sz w:val="18"/>
                <w:szCs w:val="18"/>
              </w:rPr>
              <w:t>BV / 8</w:t>
            </w:r>
            <w:r>
              <w:rPr>
                <w:sz w:val="18"/>
                <w:szCs w:val="18"/>
              </w:rPr>
              <w:t>8</w:t>
            </w:r>
          </w:p>
          <w:p w:rsidR="00F84F32" w:rsidRPr="00407000" w:rsidRDefault="00F84F32" w:rsidP="00407000">
            <w:pPr>
              <w:widowControl/>
              <w:ind w:firstLine="0"/>
              <w:jc w:val="center"/>
              <w:rPr>
                <w:sz w:val="18"/>
                <w:szCs w:val="18"/>
              </w:rPr>
            </w:pPr>
            <w:r w:rsidRPr="00407000">
              <w:rPr>
                <w:sz w:val="18"/>
                <w:szCs w:val="18"/>
              </w:rPr>
              <w:t>PBV / 59</w:t>
            </w:r>
          </w:p>
        </w:tc>
        <w:tc>
          <w:tcPr>
            <w:tcW w:w="709"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007220">
        <w:trPr>
          <w:trHeight w:val="241"/>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3.3</w:t>
            </w:r>
          </w:p>
        </w:tc>
        <w:tc>
          <w:tcPr>
            <w:tcW w:w="627" w:type="dxa"/>
            <w:vAlign w:val="center"/>
          </w:tcPr>
          <w:p w:rsidR="00F84F32" w:rsidRPr="00407000" w:rsidRDefault="00F84F32" w:rsidP="00BF7C7F">
            <w:pPr>
              <w:ind w:firstLine="27"/>
              <w:jc w:val="center"/>
              <w:rPr>
                <w:color w:val="000000"/>
                <w:sz w:val="18"/>
                <w:szCs w:val="18"/>
              </w:rPr>
            </w:pPr>
            <w:r w:rsidRPr="00407000">
              <w:rPr>
                <w:color w:val="000000"/>
                <w:sz w:val="18"/>
                <w:szCs w:val="18"/>
              </w:rPr>
              <w:t>28.</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Vytvoření Programu rozvoje historických parků (A/N)</w:t>
            </w:r>
          </w:p>
        </w:tc>
        <w:tc>
          <w:tcPr>
            <w:tcW w:w="1741"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N</w:t>
            </w:r>
          </w:p>
        </w:tc>
        <w:tc>
          <w:tcPr>
            <w:tcW w:w="1236" w:type="dxa"/>
            <w:gridSpan w:val="3"/>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275"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843"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Pr>
                <w:rFonts w:eastAsia="MS Mincho"/>
                <w:spacing w:val="4"/>
                <w:sz w:val="18"/>
                <w:szCs w:val="18"/>
                <w:lang w:eastAsia="en-US"/>
              </w:rPr>
              <w:t>A</w:t>
            </w:r>
          </w:p>
        </w:tc>
        <w:tc>
          <w:tcPr>
            <w:tcW w:w="709" w:type="dxa"/>
            <w:shd w:val="clear" w:color="auto" w:fill="99CC00"/>
            <w:vAlign w:val="center"/>
          </w:tcPr>
          <w:p w:rsidR="00F84F32" w:rsidRPr="00407000" w:rsidRDefault="00F84F32" w:rsidP="004055A7">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0072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0" w:type="dxa"/>
            <w:vMerge/>
            <w:tcBorders>
              <w:top w:val="single" w:sz="6" w:space="0" w:color="000000"/>
              <w:left w:val="single" w:sz="12" w:space="0" w:color="000000"/>
              <w:bottom w:val="single" w:sz="6" w:space="0" w:color="000000"/>
              <w:right w:val="single" w:sz="6" w:space="0" w:color="000000"/>
            </w:tcBorders>
          </w:tcPr>
          <w:p w:rsidR="00F84F32" w:rsidRPr="00407000" w:rsidRDefault="00F84F32" w:rsidP="00407000">
            <w:pPr>
              <w:ind w:firstLine="0"/>
              <w:jc w:val="center"/>
              <w:rPr>
                <w:color w:val="000000"/>
                <w:sz w:val="18"/>
                <w:szCs w:val="18"/>
              </w:rPr>
            </w:pPr>
          </w:p>
        </w:tc>
        <w:tc>
          <w:tcPr>
            <w:tcW w:w="627" w:type="dxa"/>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BF7C7F">
            <w:pPr>
              <w:ind w:firstLine="27"/>
              <w:jc w:val="center"/>
              <w:rPr>
                <w:sz w:val="18"/>
                <w:szCs w:val="18"/>
              </w:rPr>
            </w:pPr>
            <w:r w:rsidRPr="00407000">
              <w:rPr>
                <w:sz w:val="18"/>
                <w:szCs w:val="18"/>
              </w:rPr>
              <w:t>29.</w:t>
            </w:r>
          </w:p>
        </w:tc>
        <w:tc>
          <w:tcPr>
            <w:tcW w:w="2652" w:type="dxa"/>
            <w:gridSpan w:val="2"/>
            <w:tcBorders>
              <w:top w:val="single" w:sz="6" w:space="0" w:color="000000"/>
              <w:left w:val="single" w:sz="6" w:space="0" w:color="000000"/>
              <w:bottom w:val="single" w:sz="6" w:space="0" w:color="000000"/>
              <w:right w:val="single" w:sz="6" w:space="0" w:color="000000"/>
            </w:tcBorders>
          </w:tcPr>
          <w:p w:rsidR="00F84F32" w:rsidRPr="00407000" w:rsidRDefault="00F84F32" w:rsidP="00407000">
            <w:pPr>
              <w:ind w:firstLine="0"/>
              <w:jc w:val="left"/>
              <w:rPr>
                <w:sz w:val="18"/>
                <w:szCs w:val="18"/>
              </w:rPr>
            </w:pPr>
            <w:r w:rsidRPr="00407000">
              <w:rPr>
                <w:sz w:val="18"/>
                <w:szCs w:val="18"/>
              </w:rPr>
              <w:t>Zpracování Koncepce veřejných prostranství města Olomouce (A/N)</w:t>
            </w:r>
          </w:p>
        </w:tc>
        <w:tc>
          <w:tcPr>
            <w:tcW w:w="1741" w:type="dxa"/>
            <w:gridSpan w:val="2"/>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4055A7">
            <w:pPr>
              <w:widowControl/>
              <w:ind w:firstLine="0"/>
              <w:jc w:val="center"/>
              <w:rPr>
                <w:sz w:val="18"/>
                <w:szCs w:val="18"/>
              </w:rPr>
            </w:pPr>
            <w:r w:rsidRPr="00407000">
              <w:rPr>
                <w:sz w:val="18"/>
                <w:szCs w:val="18"/>
              </w:rPr>
              <w:t>N</w:t>
            </w:r>
          </w:p>
        </w:tc>
        <w:tc>
          <w:tcPr>
            <w:tcW w:w="1236" w:type="dxa"/>
            <w:gridSpan w:val="3"/>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4055A7">
            <w:pPr>
              <w:widowControl/>
              <w:ind w:firstLine="0"/>
              <w:jc w:val="center"/>
              <w:rPr>
                <w:sz w:val="18"/>
                <w:szCs w:val="18"/>
              </w:rPr>
            </w:pPr>
            <w:r w:rsidRPr="00407000">
              <w:rPr>
                <w:sz w:val="18"/>
                <w:szCs w:val="18"/>
              </w:rPr>
              <w:t>A</w:t>
            </w:r>
          </w:p>
        </w:tc>
        <w:tc>
          <w:tcPr>
            <w:tcW w:w="1275" w:type="dxa"/>
            <w:gridSpan w:val="2"/>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4055A7">
            <w:pPr>
              <w:widowControl/>
              <w:ind w:firstLine="0"/>
              <w:jc w:val="center"/>
              <w:rPr>
                <w:sz w:val="18"/>
                <w:szCs w:val="18"/>
              </w:rPr>
            </w:pPr>
            <w:r w:rsidRPr="00407000">
              <w:rPr>
                <w:sz w:val="18"/>
                <w:szCs w:val="18"/>
              </w:rPr>
              <w:t>A</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rsidR="00F84F32" w:rsidRPr="00407000" w:rsidRDefault="00F84F32" w:rsidP="004055A7">
            <w:pPr>
              <w:widowControl/>
              <w:ind w:firstLine="0"/>
              <w:jc w:val="center"/>
              <w:rPr>
                <w:sz w:val="18"/>
                <w:szCs w:val="18"/>
              </w:rPr>
            </w:pPr>
            <w:r w:rsidRPr="00407000">
              <w:rPr>
                <w:rFonts w:eastAsia="MS Mincho"/>
                <w:spacing w:val="4"/>
                <w:sz w:val="18"/>
                <w:szCs w:val="18"/>
                <w:lang w:eastAsia="en-US"/>
              </w:rPr>
              <w:t>N</w:t>
            </w:r>
          </w:p>
        </w:tc>
        <w:tc>
          <w:tcPr>
            <w:tcW w:w="709" w:type="dxa"/>
            <w:tcBorders>
              <w:top w:val="single" w:sz="6" w:space="0" w:color="000000"/>
              <w:left w:val="single" w:sz="6" w:space="0" w:color="000000"/>
              <w:bottom w:val="single" w:sz="6" w:space="0" w:color="000000"/>
              <w:right w:val="single" w:sz="12" w:space="0" w:color="000000"/>
            </w:tcBorders>
            <w:shd w:val="clear" w:color="auto" w:fill="FFC000"/>
            <w:vAlign w:val="center"/>
          </w:tcPr>
          <w:p w:rsidR="00F84F32" w:rsidRPr="00407000" w:rsidRDefault="00F84F32" w:rsidP="004055A7">
            <w:pPr>
              <w:widowControl/>
              <w:ind w:firstLine="0"/>
              <w:jc w:val="center"/>
              <w:rPr>
                <w:sz w:val="16"/>
                <w:szCs w:val="16"/>
              </w:rPr>
            </w:pPr>
            <w:r w:rsidRPr="00407000">
              <w:rPr>
                <w:sz w:val="32"/>
                <w:szCs w:val="32"/>
              </w:rPr>
              <w:sym w:font="Wingdings" w:char="F04B"/>
            </w:r>
          </w:p>
        </w:tc>
      </w:tr>
      <w:tr w:rsidR="00F84F32" w:rsidRPr="00407000" w:rsidTr="00007220">
        <w:tc>
          <w:tcPr>
            <w:tcW w:w="560" w:type="dxa"/>
            <w:vMerge/>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BF7C7F">
            <w:pPr>
              <w:ind w:firstLine="27"/>
              <w:jc w:val="center"/>
              <w:rPr>
                <w:sz w:val="18"/>
                <w:szCs w:val="18"/>
              </w:rPr>
            </w:pPr>
            <w:r w:rsidRPr="00407000">
              <w:rPr>
                <w:sz w:val="18"/>
                <w:szCs w:val="18"/>
              </w:rPr>
              <w:t>30.</w:t>
            </w:r>
          </w:p>
        </w:tc>
        <w:tc>
          <w:tcPr>
            <w:tcW w:w="2652" w:type="dxa"/>
            <w:gridSpan w:val="2"/>
          </w:tcPr>
          <w:p w:rsidR="00F84F32" w:rsidRPr="00407000" w:rsidRDefault="00F84F32" w:rsidP="00407000">
            <w:pPr>
              <w:ind w:firstLine="0"/>
              <w:jc w:val="left"/>
              <w:rPr>
                <w:sz w:val="18"/>
                <w:szCs w:val="18"/>
              </w:rPr>
            </w:pPr>
            <w:r w:rsidRPr="00407000">
              <w:rPr>
                <w:sz w:val="18"/>
                <w:szCs w:val="18"/>
              </w:rPr>
              <w:t>Plocha zrevitalizované a nově založené sídelní zeleně ve</w:t>
            </w:r>
            <w:r>
              <w:rPr>
                <w:sz w:val="18"/>
                <w:szCs w:val="18"/>
              </w:rPr>
              <w:t> </w:t>
            </w:r>
            <w:r w:rsidRPr="00407000">
              <w:rPr>
                <w:sz w:val="18"/>
                <w:szCs w:val="18"/>
              </w:rPr>
              <w:t>městě za rok (m</w:t>
            </w:r>
            <w:r w:rsidRPr="00407000">
              <w:rPr>
                <w:sz w:val="18"/>
                <w:szCs w:val="18"/>
                <w:vertAlign w:val="superscript"/>
              </w:rPr>
              <w:t>2</w:t>
            </w:r>
            <w:r w:rsidRPr="00407000">
              <w:rPr>
                <w:sz w:val="18"/>
                <w:szCs w:val="18"/>
              </w:rPr>
              <w:t>/rok)</w:t>
            </w:r>
          </w:p>
        </w:tc>
        <w:tc>
          <w:tcPr>
            <w:tcW w:w="1741" w:type="dxa"/>
            <w:gridSpan w:val="2"/>
            <w:vAlign w:val="center"/>
          </w:tcPr>
          <w:p w:rsidR="00F84F32" w:rsidRPr="0014339B" w:rsidRDefault="00F84F32" w:rsidP="004055A7">
            <w:pPr>
              <w:widowControl/>
              <w:ind w:firstLine="0"/>
              <w:jc w:val="center"/>
              <w:rPr>
                <w:sz w:val="18"/>
                <w:szCs w:val="18"/>
              </w:rPr>
            </w:pPr>
            <w:r w:rsidRPr="0014339B">
              <w:rPr>
                <w:sz w:val="18"/>
                <w:szCs w:val="18"/>
              </w:rPr>
              <w:t>n.a.</w:t>
            </w:r>
          </w:p>
        </w:tc>
        <w:tc>
          <w:tcPr>
            <w:tcW w:w="1236" w:type="dxa"/>
            <w:gridSpan w:val="3"/>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75" w:type="dxa"/>
            <w:gridSpan w:val="2"/>
            <w:vAlign w:val="center"/>
          </w:tcPr>
          <w:p w:rsidR="00F84F32" w:rsidRPr="00FF37D5" w:rsidRDefault="00F84F32" w:rsidP="004055A7">
            <w:pPr>
              <w:widowControl/>
              <w:ind w:firstLine="0"/>
              <w:jc w:val="center"/>
              <w:rPr>
                <w:rFonts w:eastAsia="MS Mincho"/>
                <w:spacing w:val="4"/>
                <w:sz w:val="18"/>
                <w:szCs w:val="18"/>
                <w:lang w:eastAsia="en-US"/>
              </w:rPr>
            </w:pPr>
            <w:r w:rsidRPr="00FF37D5">
              <w:rPr>
                <w:rFonts w:eastAsia="MS Mincho"/>
                <w:spacing w:val="4"/>
                <w:sz w:val="18"/>
                <w:szCs w:val="18"/>
                <w:lang w:eastAsia="en-US"/>
              </w:rPr>
              <w:t>↑</w:t>
            </w:r>
          </w:p>
        </w:tc>
        <w:tc>
          <w:tcPr>
            <w:tcW w:w="1843" w:type="dxa"/>
            <w:gridSpan w:val="2"/>
            <w:vAlign w:val="center"/>
          </w:tcPr>
          <w:p w:rsidR="00F84F32" w:rsidRPr="00407000" w:rsidRDefault="00F84F32" w:rsidP="004055A7">
            <w:pPr>
              <w:widowControl/>
              <w:ind w:firstLine="0"/>
              <w:jc w:val="center"/>
              <w:rPr>
                <w:sz w:val="18"/>
                <w:szCs w:val="18"/>
              </w:rPr>
            </w:pPr>
            <w:r>
              <w:rPr>
                <w:sz w:val="18"/>
                <w:szCs w:val="18"/>
              </w:rPr>
              <w:t>2 603</w:t>
            </w:r>
          </w:p>
        </w:tc>
        <w:tc>
          <w:tcPr>
            <w:tcW w:w="709" w:type="dxa"/>
            <w:shd w:val="clear" w:color="auto" w:fill="FFC000"/>
            <w:vAlign w:val="center"/>
          </w:tcPr>
          <w:p w:rsidR="00F84F32" w:rsidRPr="00407000" w:rsidRDefault="00F84F32" w:rsidP="004055A7">
            <w:pPr>
              <w:widowControl/>
              <w:ind w:firstLine="0"/>
              <w:jc w:val="center"/>
              <w:rPr>
                <w:sz w:val="16"/>
                <w:szCs w:val="16"/>
              </w:rPr>
            </w:pPr>
            <w:r w:rsidRPr="00407000">
              <w:rPr>
                <w:sz w:val="32"/>
                <w:szCs w:val="32"/>
              </w:rPr>
              <w:sym w:font="Wingdings" w:char="F04B"/>
            </w:r>
          </w:p>
        </w:tc>
      </w:tr>
      <w:tr w:rsidR="00F84F32" w:rsidRPr="00407000" w:rsidTr="00007220">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BF7C7F">
            <w:pPr>
              <w:ind w:firstLine="27"/>
              <w:jc w:val="center"/>
              <w:rPr>
                <w:sz w:val="18"/>
                <w:szCs w:val="18"/>
              </w:rPr>
            </w:pPr>
            <w:r w:rsidRPr="00407000">
              <w:rPr>
                <w:sz w:val="18"/>
                <w:szCs w:val="18"/>
              </w:rPr>
              <w:t>31.</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Počet akcí obnovy památek v majetku města a vynaložená částka za rok (počet/</w:t>
            </w:r>
            <w:r>
              <w:rPr>
                <w:sz w:val="18"/>
                <w:szCs w:val="18"/>
              </w:rPr>
              <w:t xml:space="preserve">mil. </w:t>
            </w:r>
            <w:r w:rsidRPr="00407000">
              <w:rPr>
                <w:sz w:val="18"/>
                <w:szCs w:val="18"/>
              </w:rPr>
              <w:t>Kč)</w:t>
            </w:r>
          </w:p>
        </w:tc>
        <w:tc>
          <w:tcPr>
            <w:tcW w:w="1741" w:type="dxa"/>
            <w:gridSpan w:val="2"/>
            <w:vAlign w:val="center"/>
          </w:tcPr>
          <w:p w:rsidR="00F84F32" w:rsidRPr="00407000" w:rsidRDefault="00F84F32" w:rsidP="004055A7">
            <w:pPr>
              <w:widowControl/>
              <w:ind w:firstLine="0"/>
              <w:jc w:val="center"/>
              <w:rPr>
                <w:sz w:val="18"/>
                <w:szCs w:val="18"/>
              </w:rPr>
            </w:pPr>
            <w:r w:rsidRPr="00407000">
              <w:rPr>
                <w:sz w:val="18"/>
                <w:szCs w:val="18"/>
              </w:rPr>
              <w:t>9 / 21,672 mil. Kč</w:t>
            </w:r>
          </w:p>
        </w:tc>
        <w:tc>
          <w:tcPr>
            <w:tcW w:w="1236" w:type="dxa"/>
            <w:gridSpan w:val="3"/>
            <w:vAlign w:val="center"/>
          </w:tcPr>
          <w:p w:rsidR="00F84F32" w:rsidRPr="00407000" w:rsidRDefault="00F84F32" w:rsidP="004055A7">
            <w:pPr>
              <w:widowControl/>
              <w:ind w:firstLine="0"/>
              <w:jc w:val="center"/>
              <w:rPr>
                <w:sz w:val="18"/>
                <w:szCs w:val="18"/>
              </w:rPr>
            </w:pPr>
            <w:r w:rsidRPr="00407000">
              <w:rPr>
                <w:rFonts w:eastAsia="MS Mincho"/>
                <w:spacing w:val="4"/>
                <w:sz w:val="18"/>
                <w:szCs w:val="18"/>
                <w:lang w:eastAsia="en-US"/>
              </w:rPr>
              <w:t>nebyl stanoven</w:t>
            </w:r>
          </w:p>
        </w:tc>
        <w:tc>
          <w:tcPr>
            <w:tcW w:w="1275" w:type="dxa"/>
            <w:gridSpan w:val="2"/>
            <w:vAlign w:val="center"/>
          </w:tcPr>
          <w:p w:rsidR="00F84F32" w:rsidRPr="00FF37D5" w:rsidRDefault="00F84F32" w:rsidP="004055A7">
            <w:pPr>
              <w:widowControl/>
              <w:ind w:firstLine="0"/>
              <w:jc w:val="center"/>
              <w:rPr>
                <w:rFonts w:eastAsia="MS Mincho"/>
                <w:spacing w:val="4"/>
                <w:sz w:val="18"/>
                <w:szCs w:val="18"/>
                <w:lang w:eastAsia="en-US"/>
              </w:rPr>
            </w:pPr>
            <w:r w:rsidRPr="00FF37D5">
              <w:rPr>
                <w:rFonts w:eastAsia="MS Mincho"/>
                <w:spacing w:val="4"/>
                <w:sz w:val="18"/>
                <w:szCs w:val="18"/>
                <w:lang w:eastAsia="en-US"/>
              </w:rPr>
              <w:t>↑</w:t>
            </w:r>
          </w:p>
        </w:tc>
        <w:tc>
          <w:tcPr>
            <w:tcW w:w="1843" w:type="dxa"/>
            <w:gridSpan w:val="2"/>
            <w:vAlign w:val="center"/>
          </w:tcPr>
          <w:p w:rsidR="00F84F32" w:rsidRPr="00407000" w:rsidRDefault="00F84F32" w:rsidP="004055A7">
            <w:pPr>
              <w:widowControl/>
              <w:ind w:firstLine="0"/>
              <w:jc w:val="center"/>
              <w:rPr>
                <w:sz w:val="18"/>
                <w:szCs w:val="18"/>
              </w:rPr>
            </w:pPr>
            <w:r>
              <w:rPr>
                <w:sz w:val="18"/>
                <w:szCs w:val="18"/>
              </w:rPr>
              <w:t>4</w:t>
            </w:r>
            <w:r w:rsidRPr="00407000">
              <w:rPr>
                <w:sz w:val="18"/>
                <w:szCs w:val="18"/>
              </w:rPr>
              <w:t xml:space="preserve"> / </w:t>
            </w:r>
            <w:r>
              <w:rPr>
                <w:sz w:val="18"/>
                <w:szCs w:val="18"/>
              </w:rPr>
              <w:t>59,539</w:t>
            </w:r>
            <w:r w:rsidRPr="00407000">
              <w:rPr>
                <w:sz w:val="18"/>
                <w:szCs w:val="18"/>
              </w:rPr>
              <w:t>mil. Kč</w:t>
            </w:r>
          </w:p>
        </w:tc>
        <w:tc>
          <w:tcPr>
            <w:tcW w:w="709" w:type="dxa"/>
            <w:shd w:val="clear" w:color="auto" w:fill="99CC00"/>
            <w:vAlign w:val="center"/>
          </w:tcPr>
          <w:p w:rsidR="00F84F32" w:rsidRPr="006C7482" w:rsidRDefault="00F84F32" w:rsidP="004055A7">
            <w:pPr>
              <w:widowControl/>
              <w:ind w:firstLine="0"/>
              <w:jc w:val="center"/>
              <w:rPr>
                <w:sz w:val="32"/>
                <w:szCs w:val="32"/>
              </w:rPr>
            </w:pPr>
            <w:r w:rsidRPr="00407000">
              <w:rPr>
                <w:sz w:val="32"/>
                <w:szCs w:val="32"/>
              </w:rPr>
              <w:sym w:font="Wingdings" w:char="F04A"/>
            </w:r>
          </w:p>
        </w:tc>
      </w:tr>
      <w:tr w:rsidR="00F84F32" w:rsidRPr="00407000" w:rsidTr="00007220">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3.4</w:t>
            </w:r>
          </w:p>
        </w:tc>
        <w:tc>
          <w:tcPr>
            <w:tcW w:w="627" w:type="dxa"/>
            <w:vAlign w:val="center"/>
          </w:tcPr>
          <w:p w:rsidR="00F84F32" w:rsidRPr="00407000" w:rsidRDefault="00F84F32" w:rsidP="00407000">
            <w:pPr>
              <w:ind w:firstLine="27"/>
              <w:jc w:val="center"/>
              <w:rPr>
                <w:sz w:val="18"/>
                <w:szCs w:val="18"/>
              </w:rPr>
            </w:pPr>
            <w:r w:rsidRPr="00407000">
              <w:rPr>
                <w:sz w:val="18"/>
                <w:szCs w:val="18"/>
              </w:rPr>
              <w:t>32.</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Počet dokončených realizací vyplývajících z územního plánu v oblasti tvorby krajiny (počet)</w:t>
            </w:r>
          </w:p>
        </w:tc>
        <w:tc>
          <w:tcPr>
            <w:tcW w:w="1741" w:type="dxa"/>
            <w:gridSpan w:val="2"/>
            <w:vAlign w:val="center"/>
          </w:tcPr>
          <w:p w:rsidR="00F84F32" w:rsidRPr="00407000" w:rsidRDefault="00F84F32" w:rsidP="004055A7">
            <w:pPr>
              <w:widowControl/>
              <w:ind w:firstLine="0"/>
              <w:jc w:val="center"/>
              <w:rPr>
                <w:sz w:val="18"/>
                <w:szCs w:val="18"/>
              </w:rPr>
            </w:pPr>
            <w:r w:rsidRPr="00407000">
              <w:rPr>
                <w:sz w:val="18"/>
                <w:szCs w:val="18"/>
              </w:rPr>
              <w:t>n.a.</w:t>
            </w:r>
          </w:p>
        </w:tc>
        <w:tc>
          <w:tcPr>
            <w:tcW w:w="1236" w:type="dxa"/>
            <w:gridSpan w:val="3"/>
            <w:vAlign w:val="center"/>
          </w:tcPr>
          <w:p w:rsidR="00F84F32" w:rsidRPr="00407000" w:rsidRDefault="00F84F32" w:rsidP="00BF7C7F">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75" w:type="dxa"/>
            <w:gridSpan w:val="2"/>
            <w:vAlign w:val="center"/>
          </w:tcPr>
          <w:p w:rsidR="00F84F32" w:rsidRPr="00BF7C7F" w:rsidRDefault="00F84F32" w:rsidP="00BF7C7F">
            <w:pPr>
              <w:widowControl/>
              <w:ind w:firstLine="0"/>
              <w:jc w:val="center"/>
              <w:rPr>
                <w:rFonts w:eastAsia="MS Mincho"/>
                <w:spacing w:val="4"/>
                <w:sz w:val="18"/>
                <w:szCs w:val="18"/>
                <w:lang w:eastAsia="en-US"/>
              </w:rPr>
            </w:pPr>
            <w:r w:rsidRPr="00BF7C7F">
              <w:rPr>
                <w:rFonts w:eastAsia="MS Mincho"/>
                <w:spacing w:val="4"/>
                <w:sz w:val="18"/>
                <w:szCs w:val="18"/>
                <w:lang w:eastAsia="en-US"/>
              </w:rPr>
              <w:t>↑</w:t>
            </w:r>
          </w:p>
        </w:tc>
        <w:tc>
          <w:tcPr>
            <w:tcW w:w="1843" w:type="dxa"/>
            <w:gridSpan w:val="2"/>
            <w:vAlign w:val="center"/>
          </w:tcPr>
          <w:p w:rsidR="00F84F32" w:rsidRPr="00407000" w:rsidRDefault="00F84F32" w:rsidP="004055A7">
            <w:pPr>
              <w:widowControl/>
              <w:ind w:firstLine="0"/>
              <w:jc w:val="center"/>
              <w:rPr>
                <w:sz w:val="18"/>
                <w:szCs w:val="18"/>
              </w:rPr>
            </w:pPr>
            <w:r>
              <w:rPr>
                <w:sz w:val="18"/>
                <w:szCs w:val="18"/>
              </w:rPr>
              <w:t>0</w:t>
            </w:r>
          </w:p>
        </w:tc>
        <w:tc>
          <w:tcPr>
            <w:tcW w:w="709" w:type="dxa"/>
            <w:shd w:val="clear" w:color="auto" w:fill="FF0000"/>
            <w:vAlign w:val="center"/>
          </w:tcPr>
          <w:p w:rsidR="00F84F32" w:rsidRPr="00407000" w:rsidRDefault="00F84F32" w:rsidP="004055A7">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007220">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33.</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Počet dokončených etap protipovodňových opatření (počet, kumulovaný)</w:t>
            </w:r>
          </w:p>
        </w:tc>
        <w:tc>
          <w:tcPr>
            <w:tcW w:w="1741"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2</w:t>
            </w:r>
          </w:p>
        </w:tc>
        <w:tc>
          <w:tcPr>
            <w:tcW w:w="1236" w:type="dxa"/>
            <w:gridSpan w:val="3"/>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4</w:t>
            </w:r>
          </w:p>
        </w:tc>
        <w:tc>
          <w:tcPr>
            <w:tcW w:w="1275"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2</w:t>
            </w:r>
          </w:p>
        </w:tc>
        <w:tc>
          <w:tcPr>
            <w:tcW w:w="709" w:type="dxa"/>
            <w:shd w:val="clear" w:color="auto" w:fill="FFC000"/>
            <w:vAlign w:val="center"/>
          </w:tcPr>
          <w:p w:rsidR="00F84F32" w:rsidRPr="00407000" w:rsidRDefault="00F84F32" w:rsidP="004055A7">
            <w:pPr>
              <w:widowControl/>
              <w:ind w:firstLine="0"/>
              <w:jc w:val="center"/>
              <w:rPr>
                <w:rFonts w:eastAsia="MS Mincho"/>
                <w:spacing w:val="4"/>
                <w:sz w:val="16"/>
                <w:szCs w:val="16"/>
                <w:lang w:eastAsia="en-US"/>
              </w:rPr>
            </w:pPr>
            <w:r w:rsidRPr="00407000">
              <w:rPr>
                <w:sz w:val="32"/>
                <w:szCs w:val="32"/>
              </w:rPr>
              <w:sym w:font="Wingdings" w:char="F04B"/>
            </w:r>
          </w:p>
        </w:tc>
      </w:tr>
      <w:tr w:rsidR="00F84F32" w:rsidRPr="00407000" w:rsidTr="00007220">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3.5</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34.</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Podíl vytříděného komunálního odpadu (%)</w:t>
            </w:r>
            <w:r>
              <w:rPr>
                <w:rStyle w:val="Znakapoznpodarou"/>
                <w:sz w:val="18"/>
                <w:szCs w:val="18"/>
              </w:rPr>
              <w:t>8</w:t>
            </w:r>
          </w:p>
        </w:tc>
        <w:tc>
          <w:tcPr>
            <w:tcW w:w="1741"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54,84</w:t>
            </w:r>
          </w:p>
        </w:tc>
        <w:tc>
          <w:tcPr>
            <w:tcW w:w="1236" w:type="dxa"/>
            <w:gridSpan w:val="3"/>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70,00</w:t>
            </w:r>
          </w:p>
        </w:tc>
        <w:tc>
          <w:tcPr>
            <w:tcW w:w="1275"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5</w:t>
            </w:r>
            <w:r>
              <w:rPr>
                <w:rFonts w:eastAsia="MS Mincho"/>
                <w:spacing w:val="4"/>
                <w:sz w:val="18"/>
                <w:szCs w:val="18"/>
                <w:lang w:eastAsia="en-US"/>
              </w:rPr>
              <w:t>1,66</w:t>
            </w:r>
          </w:p>
        </w:tc>
        <w:tc>
          <w:tcPr>
            <w:tcW w:w="709" w:type="dxa"/>
            <w:shd w:val="clear" w:color="auto" w:fill="FF0000"/>
            <w:vAlign w:val="center"/>
          </w:tcPr>
          <w:p w:rsidR="00F84F32" w:rsidRPr="00407000" w:rsidRDefault="00F84F32" w:rsidP="00A33795">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00722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35.</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Míra materiálového využití odpadu (%)</w:t>
            </w:r>
            <w:r>
              <w:rPr>
                <w:rStyle w:val="Znakapoznpodarou"/>
                <w:sz w:val="18"/>
                <w:szCs w:val="18"/>
              </w:rPr>
              <w:t>8</w:t>
            </w:r>
          </w:p>
        </w:tc>
        <w:tc>
          <w:tcPr>
            <w:tcW w:w="1741"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49,75</w:t>
            </w:r>
          </w:p>
        </w:tc>
        <w:tc>
          <w:tcPr>
            <w:tcW w:w="1236" w:type="dxa"/>
            <w:gridSpan w:val="3"/>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70,00</w:t>
            </w:r>
          </w:p>
        </w:tc>
        <w:tc>
          <w:tcPr>
            <w:tcW w:w="1275"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55A7">
            <w:pPr>
              <w:widowControl/>
              <w:ind w:firstLine="0"/>
              <w:jc w:val="center"/>
              <w:rPr>
                <w:rFonts w:eastAsia="MS Mincho"/>
                <w:spacing w:val="4"/>
                <w:sz w:val="18"/>
                <w:szCs w:val="18"/>
                <w:lang w:eastAsia="en-US"/>
              </w:rPr>
            </w:pPr>
            <w:r w:rsidRPr="00407000">
              <w:rPr>
                <w:rFonts w:eastAsia="MS Mincho"/>
                <w:spacing w:val="4"/>
                <w:sz w:val="18"/>
                <w:szCs w:val="18"/>
                <w:lang w:eastAsia="en-US"/>
              </w:rPr>
              <w:t>4</w:t>
            </w:r>
            <w:r>
              <w:rPr>
                <w:rFonts w:eastAsia="MS Mincho"/>
                <w:spacing w:val="4"/>
                <w:sz w:val="18"/>
                <w:szCs w:val="18"/>
                <w:lang w:eastAsia="en-US"/>
              </w:rPr>
              <w:t>6,77</w:t>
            </w:r>
          </w:p>
        </w:tc>
        <w:tc>
          <w:tcPr>
            <w:tcW w:w="709" w:type="dxa"/>
            <w:shd w:val="clear" w:color="auto" w:fill="FF0000"/>
            <w:vAlign w:val="center"/>
          </w:tcPr>
          <w:p w:rsidR="00F84F32" w:rsidRPr="00407000" w:rsidRDefault="00F84F32" w:rsidP="004055A7">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00722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36.</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Množství produkovaného směsného komunálního odpadu a množství produkovaného odpadu celkem (tun/rok; kg/obyv.)</w:t>
            </w:r>
            <w:r>
              <w:rPr>
                <w:rStyle w:val="Znakapoznpodarou"/>
                <w:sz w:val="18"/>
                <w:szCs w:val="18"/>
              </w:rPr>
              <w:t>8</w:t>
            </w:r>
          </w:p>
        </w:tc>
        <w:tc>
          <w:tcPr>
            <w:tcW w:w="1741"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i/>
                <w:spacing w:val="4"/>
                <w:sz w:val="18"/>
                <w:szCs w:val="18"/>
                <w:lang w:eastAsia="en-US"/>
              </w:rPr>
              <w:t xml:space="preserve">Produkovaný směsný komunální odpad </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- 16 507,61 tun/rok, - 164,5 kg/obyv.</w:t>
            </w:r>
          </w:p>
          <w:p w:rsidR="00F84F32" w:rsidRPr="00407000" w:rsidRDefault="00F84F32" w:rsidP="00407000">
            <w:pPr>
              <w:widowControl/>
              <w:ind w:firstLine="0"/>
              <w:jc w:val="center"/>
              <w:rPr>
                <w:rFonts w:eastAsia="MS Mincho"/>
                <w:spacing w:val="4"/>
                <w:sz w:val="18"/>
                <w:szCs w:val="18"/>
                <w:lang w:eastAsia="en-US"/>
              </w:rPr>
            </w:pPr>
          </w:p>
          <w:p w:rsidR="00F84F32" w:rsidRPr="00407000" w:rsidRDefault="00F84F32" w:rsidP="00407000">
            <w:pPr>
              <w:widowControl/>
              <w:ind w:firstLine="0"/>
              <w:jc w:val="center"/>
              <w:rPr>
                <w:rFonts w:eastAsia="MS Mincho"/>
                <w:i/>
                <w:spacing w:val="4"/>
                <w:sz w:val="18"/>
                <w:szCs w:val="18"/>
                <w:lang w:eastAsia="en-US"/>
              </w:rPr>
            </w:pPr>
            <w:r w:rsidRPr="00407000">
              <w:rPr>
                <w:rFonts w:eastAsia="MS Mincho"/>
                <w:i/>
                <w:spacing w:val="4"/>
                <w:sz w:val="18"/>
                <w:szCs w:val="18"/>
                <w:lang w:eastAsia="en-US"/>
              </w:rPr>
              <w:t>Produkovaný odpad celkem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- 36 552,00 tun/rok,</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- 364,1 kg/obyv.</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i/>
                <w:spacing w:val="4"/>
                <w:sz w:val="18"/>
                <w:szCs w:val="18"/>
                <w:lang w:eastAsia="en-US"/>
              </w:rPr>
              <w:t xml:space="preserve">Produkovaný směsný komunální odpad </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 </w:t>
            </w:r>
            <w:r>
              <w:rPr>
                <w:rFonts w:eastAsia="MS Mincho"/>
                <w:spacing w:val="4"/>
                <w:sz w:val="18"/>
                <w:szCs w:val="18"/>
                <w:lang w:eastAsia="en-US"/>
              </w:rPr>
              <w:t>17 393,49</w:t>
            </w:r>
            <w:r w:rsidRPr="00407000">
              <w:rPr>
                <w:rFonts w:eastAsia="MS Mincho"/>
                <w:spacing w:val="4"/>
                <w:sz w:val="18"/>
                <w:szCs w:val="18"/>
                <w:lang w:eastAsia="en-US"/>
              </w:rPr>
              <w:t xml:space="preserve"> tun/rok,</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- 1</w:t>
            </w:r>
            <w:r>
              <w:rPr>
                <w:rFonts w:eastAsia="MS Mincho"/>
                <w:spacing w:val="4"/>
                <w:sz w:val="18"/>
                <w:szCs w:val="18"/>
                <w:lang w:eastAsia="en-US"/>
              </w:rPr>
              <w:t>73,05</w:t>
            </w:r>
            <w:r w:rsidRPr="00407000">
              <w:rPr>
                <w:rFonts w:eastAsia="MS Mincho"/>
                <w:spacing w:val="4"/>
                <w:sz w:val="18"/>
                <w:szCs w:val="18"/>
                <w:lang w:eastAsia="en-US"/>
              </w:rPr>
              <w:t xml:space="preserve"> kg/obyv.</w:t>
            </w:r>
          </w:p>
          <w:p w:rsidR="00F84F32" w:rsidRPr="00407000" w:rsidRDefault="00F84F32" w:rsidP="00407000">
            <w:pPr>
              <w:widowControl/>
              <w:ind w:firstLine="0"/>
              <w:jc w:val="center"/>
              <w:rPr>
                <w:rFonts w:eastAsia="MS Mincho"/>
                <w:spacing w:val="4"/>
                <w:sz w:val="18"/>
                <w:szCs w:val="18"/>
                <w:lang w:eastAsia="en-US"/>
              </w:rPr>
            </w:pPr>
          </w:p>
          <w:p w:rsidR="00F84F32" w:rsidRPr="00407000" w:rsidRDefault="00F84F32" w:rsidP="00407000">
            <w:pPr>
              <w:widowControl/>
              <w:ind w:firstLine="0"/>
              <w:jc w:val="center"/>
              <w:rPr>
                <w:rFonts w:eastAsia="MS Mincho"/>
                <w:i/>
                <w:spacing w:val="4"/>
                <w:sz w:val="18"/>
                <w:szCs w:val="18"/>
                <w:lang w:eastAsia="en-US"/>
              </w:rPr>
            </w:pPr>
            <w:r w:rsidRPr="00407000">
              <w:rPr>
                <w:rFonts w:eastAsia="MS Mincho"/>
                <w:i/>
                <w:spacing w:val="4"/>
                <w:sz w:val="18"/>
                <w:szCs w:val="18"/>
                <w:lang w:eastAsia="en-US"/>
              </w:rPr>
              <w:t xml:space="preserve">Produkovaný odpad celkem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- 37</w:t>
            </w:r>
            <w:r>
              <w:rPr>
                <w:rFonts w:eastAsia="MS Mincho"/>
                <w:spacing w:val="4"/>
                <w:sz w:val="18"/>
                <w:szCs w:val="18"/>
                <w:lang w:eastAsia="en-US"/>
              </w:rPr>
              <w:t>994,08</w:t>
            </w:r>
            <w:r w:rsidRPr="00407000">
              <w:rPr>
                <w:rFonts w:eastAsia="MS Mincho"/>
                <w:spacing w:val="4"/>
                <w:sz w:val="18"/>
                <w:szCs w:val="18"/>
                <w:lang w:eastAsia="en-US"/>
              </w:rPr>
              <w:t xml:space="preserve"> tun/rok,</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- 37</w:t>
            </w:r>
            <w:r>
              <w:rPr>
                <w:rFonts w:eastAsia="MS Mincho"/>
                <w:spacing w:val="4"/>
                <w:sz w:val="18"/>
                <w:szCs w:val="18"/>
                <w:lang w:eastAsia="en-US"/>
              </w:rPr>
              <w:t>7,99</w:t>
            </w:r>
            <w:r w:rsidRPr="00407000">
              <w:rPr>
                <w:rFonts w:eastAsia="MS Mincho"/>
                <w:spacing w:val="4"/>
                <w:sz w:val="18"/>
                <w:szCs w:val="18"/>
                <w:lang w:eastAsia="en-US"/>
              </w:rPr>
              <w:t xml:space="preserve"> kg/obyv.</w:t>
            </w:r>
          </w:p>
        </w:tc>
        <w:tc>
          <w:tcPr>
            <w:tcW w:w="709" w:type="dxa"/>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r w:rsidR="00F84F32" w:rsidRPr="00407000" w:rsidTr="00007220">
        <w:trPr>
          <w:trHeight w:val="416"/>
        </w:trPr>
        <w:tc>
          <w:tcPr>
            <w:tcW w:w="560" w:type="dxa"/>
            <w:vAlign w:val="center"/>
          </w:tcPr>
          <w:p w:rsidR="00F84F32" w:rsidRPr="00407000" w:rsidRDefault="00F84F32" w:rsidP="00407000">
            <w:pPr>
              <w:ind w:firstLine="0"/>
              <w:jc w:val="center"/>
              <w:rPr>
                <w:color w:val="000000"/>
                <w:sz w:val="18"/>
                <w:szCs w:val="18"/>
              </w:rPr>
            </w:pPr>
            <w:r w:rsidRPr="00407000">
              <w:rPr>
                <w:color w:val="000000"/>
                <w:sz w:val="18"/>
                <w:szCs w:val="18"/>
              </w:rPr>
              <w:t>3.6</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37.</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Počet překročení denního imisního limitu pro polétavý prach frakce PM</w:t>
            </w:r>
            <w:r w:rsidRPr="00407000">
              <w:rPr>
                <w:sz w:val="18"/>
                <w:szCs w:val="18"/>
                <w:vertAlign w:val="subscript"/>
              </w:rPr>
              <w:t>10</w:t>
            </w:r>
            <w:r w:rsidRPr="00407000">
              <w:rPr>
                <w:sz w:val="18"/>
                <w:szCs w:val="18"/>
              </w:rPr>
              <w:t xml:space="preserve"> (počet)</w:t>
            </w:r>
            <w:r w:rsidRPr="00407000">
              <w:rPr>
                <w:rStyle w:val="Znakapoznpodarou"/>
                <w:sz w:val="18"/>
                <w:szCs w:val="18"/>
              </w:rPr>
              <w:footnoteReference w:id="9"/>
            </w:r>
          </w:p>
        </w:tc>
        <w:tc>
          <w:tcPr>
            <w:tcW w:w="1741"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51/ -</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17/2</w:t>
            </w:r>
          </w:p>
        </w:tc>
        <w:tc>
          <w:tcPr>
            <w:tcW w:w="709" w:type="dxa"/>
            <w:shd w:val="clear" w:color="auto" w:fill="99CC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A"/>
            </w:r>
          </w:p>
        </w:tc>
      </w:tr>
      <w:tr w:rsidR="00F84F32" w:rsidRPr="00407000" w:rsidTr="00007220">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3.7</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38.</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Roční náklady na obnovu sítí vodovod</w:t>
            </w:r>
            <w:r>
              <w:rPr>
                <w:sz w:val="18"/>
                <w:szCs w:val="18"/>
              </w:rPr>
              <w:t>ů a kanalizací(</w:t>
            </w:r>
            <w:r w:rsidRPr="00407000">
              <w:rPr>
                <w:sz w:val="18"/>
                <w:szCs w:val="18"/>
              </w:rPr>
              <w:t>mil. Kč)</w:t>
            </w:r>
          </w:p>
        </w:tc>
        <w:tc>
          <w:tcPr>
            <w:tcW w:w="1741"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93,0</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136,4</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70,5</w:t>
            </w:r>
          </w:p>
        </w:tc>
        <w:tc>
          <w:tcPr>
            <w:tcW w:w="709" w:type="dxa"/>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00722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39.</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Spotřeba energií v budovách a veřejného osvětlení v majetku města (MWh/rok)</w:t>
            </w:r>
            <w:r w:rsidRPr="00407000">
              <w:rPr>
                <w:rStyle w:val="Znakapoznpodarou"/>
                <w:rFonts w:eastAsia="MS Mincho"/>
                <w:spacing w:val="4"/>
                <w:sz w:val="18"/>
                <w:szCs w:val="18"/>
                <w:lang w:eastAsia="en-US"/>
              </w:rPr>
              <w:t xml:space="preserve"> </w:t>
            </w:r>
            <w:r w:rsidRPr="00407000">
              <w:rPr>
                <w:rStyle w:val="Znakapoznpodarou"/>
                <w:rFonts w:eastAsia="MS Mincho"/>
                <w:spacing w:val="4"/>
                <w:sz w:val="18"/>
                <w:szCs w:val="18"/>
                <w:lang w:eastAsia="en-US"/>
              </w:rPr>
              <w:footnoteReference w:id="10"/>
            </w:r>
          </w:p>
        </w:tc>
        <w:tc>
          <w:tcPr>
            <w:tcW w:w="1741"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Budovy /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Veřejné osvětlení / -</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 nebyl stanoven</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Budovy /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Veřejné osvětlení / 0,5</w:t>
            </w:r>
            <w:r>
              <w:rPr>
                <w:rFonts w:eastAsia="MS Mincho"/>
                <w:spacing w:val="4"/>
                <w:sz w:val="18"/>
                <w:szCs w:val="18"/>
                <w:lang w:eastAsia="en-US"/>
              </w:rPr>
              <w:t>89</w:t>
            </w:r>
          </w:p>
        </w:tc>
        <w:tc>
          <w:tcPr>
            <w:tcW w:w="709" w:type="dxa"/>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r w:rsidR="00F84F32" w:rsidRPr="00407000" w:rsidTr="00C34BFB">
        <w:trPr>
          <w:trHeight w:val="213"/>
        </w:trPr>
        <w:tc>
          <w:tcPr>
            <w:tcW w:w="10643" w:type="dxa"/>
            <w:gridSpan w:val="14"/>
            <w:shd w:val="clear" w:color="auto" w:fill="805AC0"/>
            <w:vAlign w:val="center"/>
          </w:tcPr>
          <w:p w:rsidR="00F84F32" w:rsidRPr="00407000" w:rsidRDefault="00F84F32" w:rsidP="00407000">
            <w:pPr>
              <w:widowControl/>
              <w:ind w:firstLine="0"/>
              <w:jc w:val="left"/>
              <w:rPr>
                <w:b/>
                <w:color w:val="FFFFFF"/>
                <w:sz w:val="18"/>
                <w:szCs w:val="18"/>
              </w:rPr>
            </w:pPr>
            <w:r w:rsidRPr="00407000">
              <w:rPr>
                <w:b/>
                <w:color w:val="FFFFFF"/>
                <w:sz w:val="18"/>
                <w:szCs w:val="18"/>
              </w:rPr>
              <w:lastRenderedPageBreak/>
              <w:t>Pilíř 4: Olomouc – funkční centrum regionu</w:t>
            </w:r>
          </w:p>
        </w:tc>
      </w:tr>
      <w:tr w:rsidR="00F84F32" w:rsidRPr="00407000" w:rsidTr="00007220">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4.1</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40.</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Podíl cizích zdrojů k celkovým aktivům (zadlužení města) (%) </w:t>
            </w:r>
          </w:p>
        </w:tc>
        <w:tc>
          <w:tcPr>
            <w:tcW w:w="1800"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11,92</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10,50</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12,</w:t>
            </w:r>
            <w:r>
              <w:rPr>
                <w:rFonts w:eastAsia="MS Mincho"/>
                <w:spacing w:val="4"/>
                <w:sz w:val="18"/>
                <w:szCs w:val="18"/>
                <w:lang w:eastAsia="en-US"/>
              </w:rPr>
              <w:t>35</w:t>
            </w:r>
          </w:p>
        </w:tc>
        <w:tc>
          <w:tcPr>
            <w:tcW w:w="709" w:type="dxa"/>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00722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41.</w:t>
            </w:r>
          </w:p>
        </w:tc>
        <w:tc>
          <w:tcPr>
            <w:tcW w:w="2593" w:type="dxa"/>
            <w:vAlign w:val="center"/>
          </w:tcPr>
          <w:p w:rsidR="00F84F32" w:rsidRPr="00407000" w:rsidRDefault="00F84F32" w:rsidP="00407000">
            <w:pPr>
              <w:ind w:firstLine="0"/>
              <w:jc w:val="left"/>
              <w:rPr>
                <w:sz w:val="18"/>
                <w:szCs w:val="18"/>
              </w:rPr>
            </w:pPr>
            <w:r w:rsidRPr="00407000">
              <w:rPr>
                <w:sz w:val="18"/>
                <w:szCs w:val="18"/>
              </w:rPr>
              <w:t>Celková likvidita (hodnota)</w:t>
            </w:r>
          </w:p>
        </w:tc>
        <w:tc>
          <w:tcPr>
            <w:tcW w:w="1800"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3,11</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w:t>
            </w:r>
            <w:r>
              <w:rPr>
                <w:rFonts w:eastAsia="MS Mincho"/>
                <w:spacing w:val="4"/>
                <w:sz w:val="18"/>
                <w:szCs w:val="18"/>
                <w:lang w:eastAsia="en-US"/>
              </w:rPr>
              <w:t>00</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536A04">
            <w:pPr>
              <w:widowControl/>
              <w:ind w:firstLine="0"/>
              <w:jc w:val="center"/>
              <w:rPr>
                <w:rFonts w:eastAsia="MS Mincho"/>
                <w:spacing w:val="4"/>
                <w:sz w:val="18"/>
                <w:szCs w:val="18"/>
                <w:lang w:eastAsia="en-US"/>
              </w:rPr>
            </w:pPr>
            <w:r w:rsidRPr="00407000">
              <w:rPr>
                <w:rFonts w:eastAsia="MS Mincho"/>
                <w:spacing w:val="4"/>
                <w:sz w:val="18"/>
                <w:szCs w:val="18"/>
                <w:lang w:eastAsia="en-US"/>
              </w:rPr>
              <w:t>2,</w:t>
            </w:r>
            <w:r>
              <w:rPr>
                <w:rFonts w:eastAsia="MS Mincho"/>
                <w:spacing w:val="4"/>
                <w:sz w:val="18"/>
                <w:szCs w:val="18"/>
                <w:lang w:eastAsia="en-US"/>
              </w:rPr>
              <w:t>16</w:t>
            </w:r>
          </w:p>
        </w:tc>
        <w:tc>
          <w:tcPr>
            <w:tcW w:w="709" w:type="dxa"/>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00722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42.</w:t>
            </w:r>
          </w:p>
        </w:tc>
        <w:tc>
          <w:tcPr>
            <w:tcW w:w="2593" w:type="dxa"/>
            <w:vAlign w:val="center"/>
          </w:tcPr>
          <w:p w:rsidR="00F84F32" w:rsidRPr="00407000" w:rsidRDefault="00F84F32" w:rsidP="00407000">
            <w:pPr>
              <w:ind w:firstLine="0"/>
              <w:jc w:val="left"/>
              <w:rPr>
                <w:sz w:val="18"/>
                <w:szCs w:val="18"/>
              </w:rPr>
            </w:pPr>
            <w:r w:rsidRPr="003C665A">
              <w:rPr>
                <w:sz w:val="18"/>
                <w:szCs w:val="18"/>
              </w:rPr>
              <w:t>Provozní saldo</w:t>
            </w:r>
            <w:r w:rsidRPr="00407000">
              <w:rPr>
                <w:sz w:val="18"/>
                <w:szCs w:val="18"/>
              </w:rPr>
              <w:t xml:space="preserve"> (mil. Kč)</w:t>
            </w:r>
          </w:p>
        </w:tc>
        <w:tc>
          <w:tcPr>
            <w:tcW w:w="1800"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355</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4</w:t>
            </w:r>
            <w:r w:rsidRPr="00407000">
              <w:rPr>
                <w:rFonts w:eastAsia="MS Mincho"/>
                <w:spacing w:val="4"/>
                <w:sz w:val="18"/>
                <w:szCs w:val="18"/>
                <w:lang w:eastAsia="en-US"/>
              </w:rPr>
              <w:t>50</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320,5</w:t>
            </w:r>
          </w:p>
        </w:tc>
        <w:tc>
          <w:tcPr>
            <w:tcW w:w="709" w:type="dxa"/>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007220">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4.2</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43.</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platforem/asociací, v nichž je politický zástupce města aktivním členem </w:t>
            </w:r>
          </w:p>
        </w:tc>
        <w:tc>
          <w:tcPr>
            <w:tcW w:w="1800"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14</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14</w:t>
            </w:r>
          </w:p>
        </w:tc>
        <w:tc>
          <w:tcPr>
            <w:tcW w:w="709" w:type="dxa"/>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r w:rsidR="00F84F32" w:rsidRPr="00407000" w:rsidTr="0000722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44.</w:t>
            </w:r>
          </w:p>
        </w:tc>
        <w:tc>
          <w:tcPr>
            <w:tcW w:w="2593" w:type="dxa"/>
            <w:vAlign w:val="center"/>
          </w:tcPr>
          <w:p w:rsidR="00F84F32" w:rsidRPr="00407000" w:rsidRDefault="00F84F32" w:rsidP="00407000">
            <w:pPr>
              <w:ind w:firstLine="0"/>
              <w:jc w:val="left"/>
              <w:rPr>
                <w:sz w:val="18"/>
                <w:szCs w:val="18"/>
              </w:rPr>
            </w:pPr>
            <w:r w:rsidRPr="00407000">
              <w:rPr>
                <w:sz w:val="18"/>
                <w:szCs w:val="18"/>
              </w:rPr>
              <w:t>Počet projektů, které byly podpořeny v rámci ITI Olomoucké aglomerace (počet</w:t>
            </w:r>
            <w:r>
              <w:rPr>
                <w:sz w:val="18"/>
                <w:szCs w:val="18"/>
              </w:rPr>
              <w:t xml:space="preserve"> kumulovaný</w:t>
            </w:r>
            <w:r w:rsidRPr="00407000">
              <w:rPr>
                <w:sz w:val="18"/>
                <w:szCs w:val="18"/>
              </w:rPr>
              <w:t>)</w:t>
            </w:r>
          </w:p>
        </w:tc>
        <w:tc>
          <w:tcPr>
            <w:tcW w:w="1800"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140</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w:t>
            </w:r>
            <w:r>
              <w:rPr>
                <w:rFonts w:eastAsia="MS Mincho"/>
                <w:spacing w:val="4"/>
                <w:sz w:val="18"/>
                <w:szCs w:val="18"/>
                <w:lang w:eastAsia="en-US"/>
              </w:rPr>
              <w:t>68</w:t>
            </w:r>
          </w:p>
        </w:tc>
        <w:tc>
          <w:tcPr>
            <w:tcW w:w="709" w:type="dxa"/>
            <w:shd w:val="clear" w:color="auto" w:fill="99CC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A"/>
            </w:r>
          </w:p>
        </w:tc>
      </w:tr>
      <w:tr w:rsidR="00F84F32" w:rsidRPr="00407000" w:rsidTr="00007220">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4.3</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45.</w:t>
            </w:r>
          </w:p>
        </w:tc>
        <w:tc>
          <w:tcPr>
            <w:tcW w:w="2593" w:type="dxa"/>
            <w:vAlign w:val="center"/>
          </w:tcPr>
          <w:p w:rsidR="00F84F32" w:rsidRPr="00407000" w:rsidRDefault="00F84F32" w:rsidP="00407000">
            <w:pPr>
              <w:ind w:firstLine="0"/>
              <w:jc w:val="left"/>
              <w:rPr>
                <w:sz w:val="18"/>
                <w:szCs w:val="18"/>
              </w:rPr>
            </w:pPr>
            <w:r w:rsidRPr="00407000">
              <w:rPr>
                <w:sz w:val="18"/>
                <w:szCs w:val="18"/>
              </w:rPr>
              <w:t>Spokojenost zaměstnanců Magistrátu města Olomouce s jeho fungováním (index)</w:t>
            </w:r>
            <w:r w:rsidRPr="00407000">
              <w:rPr>
                <w:rStyle w:val="Znakapoznpodarou"/>
                <w:rFonts w:eastAsia="MS Mincho"/>
                <w:spacing w:val="4"/>
                <w:sz w:val="18"/>
                <w:szCs w:val="18"/>
                <w:lang w:eastAsia="en-US"/>
              </w:rPr>
              <w:footnoteReference w:id="11"/>
            </w:r>
          </w:p>
        </w:tc>
        <w:tc>
          <w:tcPr>
            <w:tcW w:w="1800"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ano: 94,9 %;</w:t>
            </w:r>
          </w:p>
          <w:p w:rsidR="00F84F32" w:rsidRPr="00407000" w:rsidRDefault="00F84F32" w:rsidP="00407000">
            <w:pPr>
              <w:widowControl/>
              <w:ind w:firstLine="0"/>
              <w:jc w:val="center"/>
              <w:rPr>
                <w:rFonts w:eastAsia="MS Mincho"/>
                <w:spacing w:val="4"/>
                <w:sz w:val="18"/>
                <w:szCs w:val="18"/>
                <w:highlight w:val="yellow"/>
                <w:lang w:eastAsia="en-US"/>
              </w:rPr>
            </w:pPr>
            <w:r w:rsidRPr="00407000">
              <w:rPr>
                <w:rFonts w:eastAsia="MS Mincho"/>
                <w:spacing w:val="4"/>
                <w:sz w:val="18"/>
                <w:szCs w:val="18"/>
                <w:lang w:eastAsia="en-US"/>
              </w:rPr>
              <w:t>částečně: 4,9 %; ne: 0,2 %</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ano:</w:t>
            </w:r>
            <w:r>
              <w:rPr>
                <w:rFonts w:eastAsia="MS Mincho"/>
                <w:spacing w:val="4"/>
                <w:sz w:val="18"/>
                <w:szCs w:val="18"/>
                <w:lang w:eastAsia="en-US"/>
              </w:rPr>
              <w:t xml:space="preserve"> </w:t>
            </w:r>
            <w:r w:rsidRPr="00407000">
              <w:rPr>
                <w:rFonts w:eastAsia="MS Mincho"/>
                <w:spacing w:val="4"/>
                <w:sz w:val="18"/>
                <w:szCs w:val="18"/>
                <w:lang w:eastAsia="en-US"/>
              </w:rPr>
              <w:t>94,9 %;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částečně: 4,9</w:t>
            </w:r>
            <w:r>
              <w:rPr>
                <w:rFonts w:eastAsia="MS Mincho"/>
                <w:spacing w:val="4"/>
                <w:sz w:val="18"/>
                <w:szCs w:val="18"/>
                <w:lang w:eastAsia="en-US"/>
              </w:rPr>
              <w:t> </w:t>
            </w:r>
            <w:r w:rsidRPr="00407000">
              <w:rPr>
                <w:rFonts w:eastAsia="MS Mincho"/>
                <w:spacing w:val="4"/>
                <w:sz w:val="18"/>
                <w:szCs w:val="18"/>
                <w:lang w:eastAsia="en-US"/>
              </w:rPr>
              <w:t>%; ne: 0,2 %</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ano: 9</w:t>
            </w:r>
            <w:r>
              <w:rPr>
                <w:rFonts w:eastAsia="MS Mincho"/>
                <w:spacing w:val="4"/>
                <w:sz w:val="18"/>
                <w:szCs w:val="18"/>
                <w:lang w:eastAsia="en-US"/>
              </w:rPr>
              <w:t>2,2</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částečně: </w:t>
            </w:r>
            <w:r>
              <w:rPr>
                <w:rFonts w:eastAsia="MS Mincho"/>
                <w:spacing w:val="4"/>
                <w:sz w:val="18"/>
                <w:szCs w:val="18"/>
                <w:lang w:eastAsia="en-US"/>
              </w:rPr>
              <w:t>7,8</w:t>
            </w:r>
            <w:r w:rsidRPr="00407000">
              <w:rPr>
                <w:rFonts w:eastAsia="MS Mincho"/>
                <w:spacing w:val="4"/>
                <w:sz w:val="18"/>
                <w:szCs w:val="18"/>
                <w:lang w:eastAsia="en-US"/>
              </w:rPr>
              <w:t xml:space="preserve"> %; ne: 0,0 %</w:t>
            </w:r>
          </w:p>
        </w:tc>
        <w:tc>
          <w:tcPr>
            <w:tcW w:w="709" w:type="dxa"/>
            <w:shd w:val="clear" w:color="auto" w:fill="FFC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B"/>
            </w:r>
          </w:p>
        </w:tc>
      </w:tr>
      <w:tr w:rsidR="00F84F32" w:rsidRPr="00407000" w:rsidTr="0000722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46.</w:t>
            </w:r>
          </w:p>
        </w:tc>
        <w:tc>
          <w:tcPr>
            <w:tcW w:w="2593" w:type="dxa"/>
            <w:vAlign w:val="center"/>
          </w:tcPr>
          <w:p w:rsidR="00F84F32" w:rsidRPr="00407000" w:rsidRDefault="00F84F32" w:rsidP="00407000">
            <w:pPr>
              <w:ind w:firstLine="0"/>
              <w:jc w:val="left"/>
              <w:rPr>
                <w:sz w:val="18"/>
                <w:szCs w:val="18"/>
              </w:rPr>
            </w:pPr>
            <w:r w:rsidRPr="00407000">
              <w:rPr>
                <w:sz w:val="18"/>
                <w:szCs w:val="18"/>
              </w:rPr>
              <w:t>Spokojenost občanů s fungováním magistrátu (index)</w:t>
            </w:r>
            <w:r w:rsidRPr="00407000">
              <w:rPr>
                <w:rStyle w:val="Znakapoznpodarou"/>
                <w:sz w:val="18"/>
                <w:szCs w:val="18"/>
              </w:rPr>
              <w:footnoteReference w:id="12"/>
            </w:r>
          </w:p>
        </w:tc>
        <w:tc>
          <w:tcPr>
            <w:tcW w:w="1800" w:type="dxa"/>
            <w:gridSpan w:val="3"/>
            <w:vAlign w:val="center"/>
          </w:tcPr>
          <w:p w:rsidR="00F84F32"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 97,31 %, B: 10,86</w:t>
            </w:r>
            <w:r>
              <w:rPr>
                <w:rFonts w:eastAsia="MS Mincho"/>
                <w:spacing w:val="4"/>
                <w:sz w:val="18"/>
                <w:szCs w:val="18"/>
                <w:lang w:eastAsia="en-US"/>
              </w:rPr>
              <w:t xml:space="preserve"> </w:t>
            </w:r>
            <w:r w:rsidRPr="00407000">
              <w:rPr>
                <w:rFonts w:eastAsia="MS Mincho"/>
                <w:spacing w:val="4"/>
                <w:sz w:val="18"/>
                <w:szCs w:val="18"/>
                <w:lang w:eastAsia="en-US"/>
              </w:rPr>
              <w:t xml:space="preserve">%, </w:t>
            </w:r>
          </w:p>
          <w:p w:rsidR="00F84F32"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C: 1,84</w:t>
            </w:r>
            <w:r>
              <w:rPr>
                <w:rFonts w:eastAsia="MS Mincho"/>
                <w:spacing w:val="4"/>
                <w:sz w:val="18"/>
                <w:szCs w:val="18"/>
                <w:lang w:eastAsia="en-US"/>
              </w:rPr>
              <w:t xml:space="preserve"> </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highlight w:val="yellow"/>
                <w:lang w:eastAsia="en-US"/>
              </w:rPr>
            </w:pPr>
            <w:r w:rsidRPr="00407000">
              <w:rPr>
                <w:rFonts w:eastAsia="MS Mincho"/>
                <w:spacing w:val="4"/>
                <w:sz w:val="18"/>
                <w:szCs w:val="18"/>
                <w:lang w:eastAsia="en-US"/>
              </w:rPr>
              <w:t>D: 96,10 %</w:t>
            </w:r>
          </w:p>
        </w:tc>
        <w:tc>
          <w:tcPr>
            <w:tcW w:w="1236" w:type="dxa"/>
            <w:gridSpan w:val="3"/>
            <w:vAlign w:val="center"/>
          </w:tcPr>
          <w:p w:rsidR="00F84F32"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A: 97,31 %, B: 10,86%, </w:t>
            </w:r>
          </w:p>
          <w:p w:rsidR="00F84F32"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C: 1,84</w:t>
            </w:r>
            <w:r>
              <w:rPr>
                <w:rFonts w:eastAsia="MS Mincho"/>
                <w:spacing w:val="4"/>
                <w:sz w:val="18"/>
                <w:szCs w:val="18"/>
                <w:lang w:eastAsia="en-US"/>
              </w:rPr>
              <w:t xml:space="preserve"> </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D: 96,10 %</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nesledováno</w:t>
            </w:r>
          </w:p>
        </w:tc>
        <w:tc>
          <w:tcPr>
            <w:tcW w:w="709" w:type="dxa"/>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r w:rsidR="00F84F32" w:rsidRPr="00407000" w:rsidTr="00007220">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4.4</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47.</w:t>
            </w:r>
          </w:p>
        </w:tc>
        <w:tc>
          <w:tcPr>
            <w:tcW w:w="2593" w:type="dxa"/>
            <w:vAlign w:val="center"/>
          </w:tcPr>
          <w:p w:rsidR="00F84F32" w:rsidRPr="00407000" w:rsidRDefault="00F84F32" w:rsidP="00407000">
            <w:pPr>
              <w:ind w:firstLine="0"/>
              <w:jc w:val="left"/>
              <w:rPr>
                <w:sz w:val="18"/>
                <w:szCs w:val="18"/>
              </w:rPr>
            </w:pPr>
            <w:r w:rsidRPr="00407000">
              <w:rPr>
                <w:sz w:val="18"/>
                <w:szCs w:val="18"/>
              </w:rPr>
              <w:t>Přírůstek bytových jednotek do fondu dostupného bydlení (počet, kumulovaný)</w:t>
            </w:r>
          </w:p>
        </w:tc>
        <w:tc>
          <w:tcPr>
            <w:tcW w:w="1800"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661</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741</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661</w:t>
            </w:r>
          </w:p>
        </w:tc>
        <w:tc>
          <w:tcPr>
            <w:tcW w:w="709" w:type="dxa"/>
            <w:shd w:val="clear" w:color="auto" w:fill="FFC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B"/>
            </w:r>
          </w:p>
        </w:tc>
      </w:tr>
      <w:tr w:rsidR="00F84F32" w:rsidRPr="00407000" w:rsidTr="0000722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48.</w:t>
            </w:r>
          </w:p>
        </w:tc>
        <w:tc>
          <w:tcPr>
            <w:tcW w:w="2593" w:type="dxa"/>
            <w:vAlign w:val="center"/>
          </w:tcPr>
          <w:p w:rsidR="00F84F32" w:rsidRPr="00407000" w:rsidRDefault="00F84F32" w:rsidP="00407000">
            <w:pPr>
              <w:ind w:firstLine="0"/>
              <w:jc w:val="left"/>
              <w:rPr>
                <w:sz w:val="18"/>
                <w:szCs w:val="18"/>
              </w:rPr>
            </w:pPr>
            <w:r w:rsidRPr="00407000">
              <w:rPr>
                <w:sz w:val="18"/>
                <w:szCs w:val="18"/>
              </w:rPr>
              <w:t>Počet uzavřených nájemních smluv na byty v režimu dostupného bydlení (počet, kumulovaný)</w:t>
            </w:r>
          </w:p>
        </w:tc>
        <w:tc>
          <w:tcPr>
            <w:tcW w:w="1800"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236" w:type="dxa"/>
            <w:gridSpan w:val="3"/>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100</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159</w:t>
            </w:r>
          </w:p>
        </w:tc>
        <w:tc>
          <w:tcPr>
            <w:tcW w:w="709" w:type="dxa"/>
            <w:shd w:val="clear" w:color="auto" w:fill="99CC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A"/>
            </w:r>
          </w:p>
        </w:tc>
      </w:tr>
      <w:tr w:rsidR="00F84F32" w:rsidRPr="00407000" w:rsidTr="00C34BFB">
        <w:trPr>
          <w:trHeight w:val="416"/>
        </w:trPr>
        <w:tc>
          <w:tcPr>
            <w:tcW w:w="560" w:type="dxa"/>
            <w:vAlign w:val="center"/>
          </w:tcPr>
          <w:p w:rsidR="00F84F32" w:rsidRPr="00407000" w:rsidRDefault="00F84F32" w:rsidP="00407000">
            <w:pPr>
              <w:ind w:firstLine="0"/>
              <w:jc w:val="center"/>
              <w:rPr>
                <w:color w:val="000000"/>
                <w:sz w:val="18"/>
                <w:szCs w:val="18"/>
              </w:rPr>
            </w:pPr>
            <w:r w:rsidRPr="00407000">
              <w:rPr>
                <w:color w:val="000000"/>
                <w:sz w:val="18"/>
                <w:szCs w:val="18"/>
              </w:rPr>
              <w:t>4.5</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w:t>
            </w:r>
          </w:p>
        </w:tc>
        <w:tc>
          <w:tcPr>
            <w:tcW w:w="9456" w:type="dxa"/>
            <w:gridSpan w:val="12"/>
            <w:vAlign w:val="center"/>
          </w:tcPr>
          <w:p w:rsidR="00F84F32" w:rsidRPr="00407000" w:rsidRDefault="00F84F32" w:rsidP="00407000">
            <w:pPr>
              <w:ind w:firstLine="0"/>
              <w:jc w:val="left"/>
              <w:rPr>
                <w:sz w:val="18"/>
                <w:szCs w:val="18"/>
              </w:rPr>
            </w:pPr>
            <w:r w:rsidRPr="00407000">
              <w:rPr>
                <w:sz w:val="18"/>
                <w:szCs w:val="18"/>
              </w:rPr>
              <w:t>Indikátory budou stanoveny a vyhodnocovány prostřednictvím Komunitního plánu sociálních služeb Olomoucka a Koncepce rozvoje rodinné politiky statutárního města Olomouce.</w:t>
            </w:r>
          </w:p>
        </w:tc>
      </w:tr>
      <w:tr w:rsidR="00F84F32" w:rsidRPr="00407000" w:rsidTr="00C34BFB">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4.6</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49.</w:t>
            </w:r>
          </w:p>
        </w:tc>
        <w:tc>
          <w:tcPr>
            <w:tcW w:w="2652" w:type="dxa"/>
            <w:gridSpan w:val="2"/>
            <w:vAlign w:val="center"/>
          </w:tcPr>
          <w:p w:rsidR="00F84F32" w:rsidRPr="00407000" w:rsidRDefault="00F84F32" w:rsidP="00407000">
            <w:pPr>
              <w:ind w:firstLine="0"/>
              <w:jc w:val="left"/>
              <w:rPr>
                <w:sz w:val="18"/>
                <w:szCs w:val="18"/>
              </w:rPr>
            </w:pPr>
            <w:r w:rsidRPr="00407000">
              <w:rPr>
                <w:sz w:val="18"/>
                <w:szCs w:val="18"/>
              </w:rPr>
              <w:t>Podíl obyvatel, kteří se v Olomouci cítí bezpečně (%)</w:t>
            </w:r>
            <w:r>
              <w:rPr>
                <w:rStyle w:val="Znakapoznpodarou"/>
                <w:sz w:val="18"/>
                <w:szCs w:val="18"/>
              </w:rPr>
              <w:footnoteReference w:id="13"/>
            </w:r>
          </w:p>
        </w:tc>
        <w:tc>
          <w:tcPr>
            <w:tcW w:w="1701"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17,5 % rozhodně ano,</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59,3% spíše ano</w:t>
            </w:r>
          </w:p>
        </w:tc>
        <w:tc>
          <w:tcPr>
            <w:tcW w:w="1276" w:type="dxa"/>
            <w:gridSpan w:val="4"/>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25 % rozhodně ano,</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60 % spíše ano</w:t>
            </w:r>
          </w:p>
        </w:tc>
        <w:tc>
          <w:tcPr>
            <w:tcW w:w="1275"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843" w:type="dxa"/>
            <w:gridSpan w:val="2"/>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nesledováno</w:t>
            </w:r>
          </w:p>
        </w:tc>
        <w:tc>
          <w:tcPr>
            <w:tcW w:w="709" w:type="dxa"/>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r w:rsidR="00F84F32" w:rsidRPr="00407000" w:rsidTr="00C34BFB">
        <w:trPr>
          <w:trHeight w:val="416"/>
        </w:trPr>
        <w:tc>
          <w:tcPr>
            <w:tcW w:w="560" w:type="dxa"/>
            <w:vMerge/>
            <w:tcBorders>
              <w:bottom w:val="single" w:sz="12" w:space="0" w:color="000000"/>
            </w:tcBorders>
            <w:vAlign w:val="center"/>
          </w:tcPr>
          <w:p w:rsidR="00F84F32" w:rsidRPr="00407000" w:rsidRDefault="00F84F32" w:rsidP="00407000">
            <w:pPr>
              <w:ind w:firstLine="0"/>
              <w:jc w:val="center"/>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w:t>
            </w:r>
          </w:p>
        </w:tc>
        <w:tc>
          <w:tcPr>
            <w:tcW w:w="9456" w:type="dxa"/>
            <w:gridSpan w:val="12"/>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Indikátory jsou stanoveny a budou vyhodnocovány na základě každoročního hodnocení programu Koncepce prevence kriminality města Olomouce.</w:t>
            </w:r>
          </w:p>
        </w:tc>
      </w:tr>
    </w:tbl>
    <w:p w:rsidR="00F84F32" w:rsidRDefault="00F84F32" w:rsidP="00407000">
      <w:pPr>
        <w:rPr>
          <w:b/>
        </w:rPr>
      </w:pPr>
    </w:p>
    <w:p w:rsidR="00F84F32" w:rsidRPr="00407000" w:rsidRDefault="00F84F32" w:rsidP="00407000">
      <w:r w:rsidRPr="00407000">
        <w:rPr>
          <w:b/>
        </w:rPr>
        <w:t>Optimální směr</w:t>
      </w:r>
      <w:r w:rsidRPr="00407000">
        <w:t xml:space="preserve"> by měl odpovídat tendenci hodnoty indikátoru, ke které by mělo dojít splněním jednotlivých opatření. Pro přehlednost byly stanoveny následující symboly:</w:t>
      </w:r>
    </w:p>
    <w:p w:rsidR="00F84F32" w:rsidRPr="00407000" w:rsidRDefault="00F84F32" w:rsidP="00407000">
      <w:pPr>
        <w:tabs>
          <w:tab w:val="left" w:pos="4500"/>
        </w:tabs>
      </w:pPr>
      <w:r w:rsidRPr="00407000">
        <w:t>↑………………………………………...</w:t>
      </w:r>
      <w:r w:rsidRPr="00407000">
        <w:tab/>
        <w:t>vzrůstající tendence</w:t>
      </w:r>
    </w:p>
    <w:p w:rsidR="00F84F32" w:rsidRPr="00407000" w:rsidRDefault="00F84F32" w:rsidP="00407000">
      <w:pPr>
        <w:tabs>
          <w:tab w:val="left" w:pos="4500"/>
        </w:tabs>
      </w:pPr>
      <w:r w:rsidRPr="00407000">
        <w:t>↓…………………………………...........</w:t>
      </w:r>
      <w:r w:rsidRPr="00407000">
        <w:tab/>
        <w:t>klesající tendence</w:t>
      </w:r>
    </w:p>
    <w:p w:rsidR="00F84F32" w:rsidRPr="00407000" w:rsidRDefault="00F84F32" w:rsidP="00407000">
      <w:pPr>
        <w:tabs>
          <w:tab w:val="left" w:pos="4500"/>
        </w:tabs>
      </w:pPr>
      <w:r w:rsidRPr="00407000">
        <w:t>╧……………………………………......</w:t>
      </w:r>
      <w:r w:rsidRPr="00407000">
        <w:tab/>
        <w:t>nepoklesnout pod stanovenou mez</w:t>
      </w:r>
    </w:p>
    <w:p w:rsidR="00F84F32" w:rsidRPr="00407000" w:rsidRDefault="00F84F32" w:rsidP="00407000">
      <w:pPr>
        <w:tabs>
          <w:tab w:val="left" w:pos="4500"/>
        </w:tabs>
      </w:pPr>
      <w:r w:rsidRPr="00407000">
        <w:t>╤………………………………………..</w:t>
      </w:r>
      <w:r w:rsidRPr="00407000">
        <w:tab/>
        <w:t>nepřekročit stanovenou mez</w:t>
      </w:r>
    </w:p>
    <w:p w:rsidR="00F84F32" w:rsidRPr="00407000" w:rsidRDefault="00F84F32" w:rsidP="00407000">
      <w:pPr>
        <w:tabs>
          <w:tab w:val="left" w:pos="4500"/>
        </w:tabs>
      </w:pPr>
      <w:r w:rsidRPr="00407000">
        <w:t>↔……………………………………….</w:t>
      </w:r>
      <w:r w:rsidRPr="00407000">
        <w:tab/>
        <w:t>udržet stávající hodnotu</w:t>
      </w:r>
    </w:p>
    <w:p w:rsidR="00F84F32" w:rsidRPr="00407000" w:rsidRDefault="00F84F32" w:rsidP="00407000">
      <w:pPr>
        <w:tabs>
          <w:tab w:val="left" w:pos="4500"/>
        </w:tabs>
      </w:pPr>
      <w:r w:rsidRPr="00407000">
        <w:t>A/N………………………………..........</w:t>
      </w:r>
      <w:r w:rsidRPr="00407000">
        <w:tab/>
        <w:t>splněno/nesplněno</w:t>
      </w:r>
    </w:p>
    <w:p w:rsidR="00F84F32" w:rsidRPr="00407000" w:rsidRDefault="00F84F32" w:rsidP="00407000">
      <w:pPr>
        <w:tabs>
          <w:tab w:val="left" w:pos="4500"/>
        </w:tabs>
      </w:pPr>
      <w:r w:rsidRPr="00407000">
        <w:t>Monitorovat…………………………….</w:t>
      </w:r>
      <w:r w:rsidRPr="00407000">
        <w:tab/>
        <w:t>indikátor bude pouze monitorován</w:t>
      </w:r>
    </w:p>
    <w:p w:rsidR="00F84F32" w:rsidRPr="00407000" w:rsidRDefault="00F84F32" w:rsidP="00407000">
      <w:pPr>
        <w:pStyle w:val="StylNadpis1Ped0bZa0b"/>
        <w:tabs>
          <w:tab w:val="clear" w:pos="-507"/>
          <w:tab w:val="num" w:pos="567"/>
        </w:tabs>
        <w:ind w:left="567" w:hanging="567"/>
      </w:pPr>
      <w:r w:rsidRPr="00407000">
        <w:br w:type="page"/>
      </w:r>
      <w:bookmarkStart w:id="10" w:name="_Toc15637083"/>
      <w:bookmarkStart w:id="11" w:name="_Toc45699129"/>
      <w:r w:rsidRPr="00407000">
        <w:lastRenderedPageBreak/>
        <w:t>Vyhodnocení pokroku při plnění priorit, cílů a opatření</w:t>
      </w:r>
      <w:bookmarkEnd w:id="10"/>
      <w:bookmarkEnd w:id="11"/>
      <w:r w:rsidRPr="00407000">
        <w:t xml:space="preserve"> </w:t>
      </w:r>
    </w:p>
    <w:p w:rsidR="00F84F32" w:rsidRPr="00407000" w:rsidRDefault="00F84F32" w:rsidP="00407000"/>
    <w:p w:rsidR="00F84F32" w:rsidRPr="00407000" w:rsidRDefault="00F84F32" w:rsidP="00407000"/>
    <w:p w:rsidR="00F84F32" w:rsidRPr="00407000" w:rsidRDefault="00F84F32" w:rsidP="00407000">
      <w:r w:rsidRPr="00407000">
        <w:t>Tato zpráva má za cíl formou stručného popisu průběžně zhodnotit celkové plnění hlavních opatření jednotlivých specifických cílů Strategického plánu s vazbou na naplňování nastavených monitorovacích indikátorů. V následující kapitole členěné na základě priorit a cílů jsou v rámci jednotlivých opatření popsány aktivity realizované v roce 20</w:t>
      </w:r>
      <w:r>
        <w:t>20</w:t>
      </w:r>
      <w:r w:rsidRPr="00407000">
        <w:t xml:space="preserve">. </w:t>
      </w:r>
    </w:p>
    <w:p w:rsidR="00F84F32" w:rsidRPr="00407000" w:rsidRDefault="00F84F32" w:rsidP="00407000"/>
    <w:p w:rsidR="00F84F32" w:rsidRPr="00407000" w:rsidRDefault="00F84F32" w:rsidP="00407000"/>
    <w:p w:rsidR="00F84F32" w:rsidRDefault="00F84F32" w:rsidP="00A21A80">
      <w:pPr>
        <w:pStyle w:val="Nadpis1"/>
        <w:keepNext/>
        <w:widowControl/>
        <w:numPr>
          <w:ilvl w:val="0"/>
          <w:numId w:val="18"/>
        </w:numPr>
        <w:shd w:val="clear" w:color="auto" w:fill="4F77DB"/>
        <w:tabs>
          <w:tab w:val="clear" w:pos="720"/>
        </w:tabs>
        <w:ind w:left="567" w:hanging="567"/>
        <w:jc w:val="left"/>
        <w:rPr>
          <w:color w:val="FFFFFF"/>
          <w:sz w:val="28"/>
        </w:rPr>
      </w:pPr>
      <w:bookmarkStart w:id="12" w:name="_Toc15637084"/>
      <w:bookmarkStart w:id="13" w:name="_Toc45699130"/>
      <w:r w:rsidRPr="00407000">
        <w:rPr>
          <w:color w:val="FFFFFF"/>
          <w:sz w:val="28"/>
        </w:rPr>
        <w:t>Pilíř 1: Konkurenceschopná a kreativní Olomouc</w:t>
      </w:r>
      <w:bookmarkEnd w:id="12"/>
      <w:bookmarkEnd w:id="13"/>
    </w:p>
    <w:p w:rsidR="00F84F32" w:rsidRPr="00407000" w:rsidRDefault="00F84F32" w:rsidP="00407000"/>
    <w:p w:rsidR="00F84F32" w:rsidRPr="00407000" w:rsidRDefault="00F84F32" w:rsidP="00407000"/>
    <w:p w:rsidR="00F84F32" w:rsidRPr="00407000" w:rsidRDefault="00F84F32" w:rsidP="00407000">
      <w:pPr>
        <w:shd w:val="clear" w:color="auto" w:fill="DBE5F1"/>
        <w:ind w:firstLine="0"/>
        <w:rPr>
          <w:b/>
        </w:rPr>
      </w:pPr>
      <w:r w:rsidRPr="00407000">
        <w:rPr>
          <w:b/>
        </w:rPr>
        <w:t>Cíl 1.1 Kontinuálně zlepšovat infrastrukturu škol i jejich technického vybavení</w:t>
      </w:r>
    </w:p>
    <w:p w:rsidR="00F84F32" w:rsidRPr="00407000" w:rsidRDefault="00F84F32" w:rsidP="00407000"/>
    <w:tbl>
      <w:tblPr>
        <w:tblW w:w="974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163"/>
        <w:gridCol w:w="1080"/>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0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126"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507" w:type="dxa"/>
            <w:vMerge/>
          </w:tcPr>
          <w:p w:rsidR="00F84F32" w:rsidRPr="00407000" w:rsidRDefault="00F84F32" w:rsidP="00407000">
            <w:pPr>
              <w:widowControl/>
              <w:ind w:firstLine="0"/>
              <w:jc w:val="center"/>
              <w:rPr>
                <w:rFonts w:eastAsia="MS Mincho"/>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výchozí stav (</w:t>
            </w:r>
            <w:r>
              <w:rPr>
                <w:rFonts w:eastAsia="MS Mincho"/>
                <w:b/>
                <w:spacing w:val="4"/>
                <w:sz w:val="18"/>
                <w:szCs w:val="18"/>
                <w:lang w:eastAsia="en-US"/>
              </w:rPr>
              <w:t>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16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B96A10">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1.1</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w:t>
            </w:r>
          </w:p>
        </w:tc>
        <w:tc>
          <w:tcPr>
            <w:tcW w:w="2507" w:type="dxa"/>
            <w:vAlign w:val="center"/>
          </w:tcPr>
          <w:p w:rsidR="00F84F32" w:rsidRPr="00407000" w:rsidRDefault="00F84F32" w:rsidP="00407000">
            <w:pPr>
              <w:ind w:firstLine="0"/>
              <w:jc w:val="left"/>
              <w:rPr>
                <w:sz w:val="18"/>
                <w:szCs w:val="18"/>
              </w:rPr>
            </w:pPr>
            <w:r w:rsidRPr="00407000">
              <w:rPr>
                <w:sz w:val="18"/>
                <w:szCs w:val="18"/>
              </w:rPr>
              <w:t xml:space="preserve">Počet nepřijatých dětí do MŠ </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464</w:t>
            </w:r>
            <w:r w:rsidRPr="00407000">
              <w:rPr>
                <w:rStyle w:val="Znakapoznpodarou"/>
                <w:rFonts w:eastAsia="MS Mincho"/>
                <w:spacing w:val="4"/>
                <w:sz w:val="18"/>
                <w:szCs w:val="18"/>
                <w:lang w:eastAsia="en-US"/>
              </w:rPr>
              <w:footnoteReference w:id="14"/>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16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w:t>
            </w:r>
            <w:r>
              <w:rPr>
                <w:rFonts w:eastAsia="MS Mincho"/>
                <w:spacing w:val="4"/>
                <w:sz w:val="18"/>
                <w:szCs w:val="18"/>
                <w:lang w:eastAsia="en-US"/>
              </w:rPr>
              <w:t>56</w:t>
            </w:r>
          </w:p>
        </w:tc>
        <w:tc>
          <w:tcPr>
            <w:tcW w:w="928"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B96A10">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w:t>
            </w:r>
          </w:p>
        </w:tc>
        <w:tc>
          <w:tcPr>
            <w:tcW w:w="2507" w:type="dxa"/>
            <w:vAlign w:val="center"/>
          </w:tcPr>
          <w:p w:rsidR="00F84F32" w:rsidRPr="00407000" w:rsidRDefault="00F84F32" w:rsidP="00407000">
            <w:pPr>
              <w:ind w:firstLine="0"/>
              <w:jc w:val="left"/>
              <w:rPr>
                <w:sz w:val="18"/>
                <w:szCs w:val="18"/>
              </w:rPr>
            </w:pPr>
            <w:r w:rsidRPr="00407000">
              <w:rPr>
                <w:sz w:val="18"/>
                <w:szCs w:val="18"/>
              </w:rPr>
              <w:t xml:space="preserve">Počet nově vzniklých míst v mateřských školách (počet, kumulovaný) </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49</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194</w:t>
            </w:r>
          </w:p>
        </w:tc>
        <w:tc>
          <w:tcPr>
            <w:tcW w:w="116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78</w:t>
            </w:r>
          </w:p>
        </w:tc>
        <w:tc>
          <w:tcPr>
            <w:tcW w:w="928"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B96A10">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w:t>
            </w:r>
          </w:p>
        </w:tc>
        <w:tc>
          <w:tcPr>
            <w:tcW w:w="2507" w:type="dxa"/>
            <w:vAlign w:val="center"/>
          </w:tcPr>
          <w:p w:rsidR="00F84F32" w:rsidRPr="00407000" w:rsidRDefault="00F84F32" w:rsidP="00407000">
            <w:pPr>
              <w:ind w:firstLine="0"/>
              <w:jc w:val="left"/>
              <w:rPr>
                <w:sz w:val="18"/>
                <w:szCs w:val="18"/>
              </w:rPr>
            </w:pPr>
            <w:r w:rsidRPr="00407000">
              <w:rPr>
                <w:sz w:val="18"/>
                <w:szCs w:val="18"/>
              </w:rPr>
              <w:t>Počet nových odborných učeben (počet, kumulovaný)</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10</w:t>
            </w:r>
          </w:p>
        </w:tc>
        <w:tc>
          <w:tcPr>
            <w:tcW w:w="116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12</w:t>
            </w:r>
          </w:p>
        </w:tc>
        <w:tc>
          <w:tcPr>
            <w:tcW w:w="928"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B96A10">
        <w:tc>
          <w:tcPr>
            <w:tcW w:w="560" w:type="dxa"/>
            <w:vMerge/>
            <w:tcBorders>
              <w:bottom w:val="single" w:sz="12" w:space="0" w:color="000000"/>
            </w:tcBorders>
            <w:vAlign w:val="center"/>
          </w:tcPr>
          <w:p w:rsidR="00F84F32" w:rsidRPr="00407000" w:rsidRDefault="00F84F32" w:rsidP="00407000">
            <w:pPr>
              <w:ind w:firstLine="0"/>
              <w:jc w:val="center"/>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4.</w:t>
            </w:r>
          </w:p>
        </w:tc>
        <w:tc>
          <w:tcPr>
            <w:tcW w:w="2507"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Kapacita odborných učeben (počet míst, kumulovaný)</w:t>
            </w:r>
          </w:p>
        </w:tc>
        <w:tc>
          <w:tcPr>
            <w:tcW w:w="1706"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892</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1 152</w:t>
            </w:r>
          </w:p>
        </w:tc>
        <w:tc>
          <w:tcPr>
            <w:tcW w:w="116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w:t>
            </w:r>
            <w:r>
              <w:rPr>
                <w:rFonts w:eastAsia="MS Mincho"/>
                <w:spacing w:val="4"/>
                <w:sz w:val="18"/>
                <w:szCs w:val="18"/>
                <w:lang w:eastAsia="en-US"/>
              </w:rPr>
              <w:t xml:space="preserve"> </w:t>
            </w:r>
            <w:r w:rsidRPr="00407000">
              <w:rPr>
                <w:rFonts w:eastAsia="MS Mincho"/>
                <w:spacing w:val="4"/>
                <w:sz w:val="18"/>
                <w:szCs w:val="18"/>
                <w:lang w:eastAsia="en-US"/>
              </w:rPr>
              <w:t>183</w:t>
            </w:r>
          </w:p>
        </w:tc>
        <w:tc>
          <w:tcPr>
            <w:tcW w:w="928" w:type="dxa"/>
            <w:tcBorders>
              <w:bottom w:val="single" w:sz="12" w:space="0" w:color="000000"/>
            </w:tcBorders>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bl>
    <w:p w:rsidR="00F84F32" w:rsidRPr="00407000" w:rsidRDefault="00F84F32" w:rsidP="00407000"/>
    <w:p w:rsidR="00F84F32" w:rsidRPr="00407000" w:rsidRDefault="00F84F32" w:rsidP="00407000">
      <w:pPr>
        <w:ind w:firstLine="0"/>
        <w:rPr>
          <w:b/>
        </w:rPr>
      </w:pPr>
      <w:r w:rsidRPr="00407000">
        <w:rPr>
          <w:b/>
        </w:rPr>
        <w:t>Opatření 1.1.1 Navýšení kapacit MŠ a vybudování zázemí pro vzdělávání 2letých dětí</w:t>
      </w:r>
    </w:p>
    <w:p w:rsidR="00F84F32" w:rsidRPr="00407000" w:rsidRDefault="00F84F32" w:rsidP="00407000">
      <w:pPr>
        <w:ind w:firstLine="0"/>
        <w:rPr>
          <w:u w:val="single"/>
        </w:rPr>
      </w:pPr>
      <w:r w:rsidRPr="00407000">
        <w:rPr>
          <w:u w:val="single"/>
        </w:rPr>
        <w:t>Stav opatření:</w:t>
      </w:r>
    </w:p>
    <w:p w:rsidR="00F84F32" w:rsidRDefault="00F84F32" w:rsidP="00EA3F0B">
      <w:r>
        <w:t>V roce 2020 byla zpracovaná projektová dokumentace a zrealizováno výběrové zřízení na zhotovitele investiční akce MŠ Dělnická. Zahájení investiční akce je plánováno na r. 2021.</w:t>
      </w:r>
    </w:p>
    <w:p w:rsidR="00F84F32" w:rsidRDefault="00F84F32" w:rsidP="00EA3F0B">
      <w:r>
        <w:t>I když vzhledem k legislativní změně není nutné cíleně vytvářet podmínky pro vzdělávání dvouletých dětí (zřizovatelé nejsou povinni vytvářet nároková místa pro tuto věkovou kategorii), MŠMT v souladu s dlouhodobým záměrem vzdělávání připravuje opatření, která povedou ke snížení počtu dětí ve třídách. Nadále tedy trvá potřeba navýšení míst v mateřských školách.</w:t>
      </w:r>
    </w:p>
    <w:p w:rsidR="00F84F32" w:rsidRPr="00407000" w:rsidRDefault="00F84F32" w:rsidP="00AD01FB"/>
    <w:p w:rsidR="00F84F32" w:rsidRPr="00407000" w:rsidRDefault="00F84F32" w:rsidP="00407000">
      <w:pPr>
        <w:ind w:firstLine="0"/>
        <w:rPr>
          <w:b/>
        </w:rPr>
      </w:pPr>
      <w:r w:rsidRPr="00407000">
        <w:rPr>
          <w:b/>
        </w:rPr>
        <w:t>Opatření 1.1.2 Vybudování a modernizace vybavení odborných učeben přírodních věd a polytechnického vzdělávání</w:t>
      </w:r>
    </w:p>
    <w:p w:rsidR="00F84F32" w:rsidRPr="00407000" w:rsidRDefault="00F84F32" w:rsidP="00407000">
      <w:pPr>
        <w:ind w:firstLine="0"/>
        <w:rPr>
          <w:u w:val="single"/>
        </w:rPr>
      </w:pPr>
      <w:r w:rsidRPr="00407000">
        <w:rPr>
          <w:u w:val="single"/>
        </w:rPr>
        <w:t>Stav opatření:</w:t>
      </w:r>
    </w:p>
    <w:p w:rsidR="00F84F32" w:rsidRPr="003514E4" w:rsidRDefault="00F84F32" w:rsidP="000E1ADB">
      <w:r>
        <w:t>V roce 2020 bylo zahájeno vybudování odborných učeben v ZŠ Kopeček. Byly vybudovány dvě odborné učebny (fyzika + chemie a dílny), ale doposud nejsou v provozu. Dokončení celé akce je plánováno v roce 2021 (včetně 2 dalších učeben a tělocvičny). Do navýšení počtu odborných učeben bude tyto učebny možné zahrnout až po kolaudaci celé akce v roce 2021.</w:t>
      </w:r>
    </w:p>
    <w:p w:rsidR="00F84F32" w:rsidRDefault="00F84F32" w:rsidP="00AD01FB"/>
    <w:p w:rsidR="00F84F32" w:rsidRDefault="00F84F32" w:rsidP="00AD01FB"/>
    <w:p w:rsidR="00F84F32" w:rsidRPr="00407000" w:rsidRDefault="00F84F32" w:rsidP="00407000">
      <w:pPr>
        <w:ind w:firstLine="0"/>
        <w:rPr>
          <w:b/>
        </w:rPr>
      </w:pPr>
      <w:r w:rsidRPr="00407000">
        <w:rPr>
          <w:b/>
        </w:rPr>
        <w:lastRenderedPageBreak/>
        <w:t>Opatření 1.1.3 Rekonstrukce a modernizace školních hřišť a tělocvičen</w:t>
      </w:r>
    </w:p>
    <w:p w:rsidR="00F84F32" w:rsidRPr="00407000" w:rsidRDefault="00F84F32" w:rsidP="00407000">
      <w:pPr>
        <w:ind w:firstLine="0"/>
        <w:rPr>
          <w:u w:val="single"/>
        </w:rPr>
      </w:pPr>
      <w:r w:rsidRPr="00407000">
        <w:rPr>
          <w:u w:val="single"/>
        </w:rPr>
        <w:t>Stav opatření:</w:t>
      </w:r>
    </w:p>
    <w:p w:rsidR="00F84F32" w:rsidRDefault="00F84F32" w:rsidP="00407000">
      <w:r>
        <w:t>V roce 2020 byla ukončena realizace rekonstrukce dětského hřiště při MŠ Mozartova.</w:t>
      </w:r>
    </w:p>
    <w:p w:rsidR="00F84F32" w:rsidRDefault="00F84F32" w:rsidP="00A2591B"/>
    <w:p w:rsidR="00F84F32" w:rsidRPr="00407000" w:rsidRDefault="00F84F32" w:rsidP="00407000">
      <w:pPr>
        <w:ind w:firstLine="0"/>
        <w:rPr>
          <w:b/>
        </w:rPr>
      </w:pPr>
      <w:r w:rsidRPr="00407000">
        <w:rPr>
          <w:b/>
        </w:rPr>
        <w:t>Opatření 1.1.4 V odůvodněných případech podpora rozvoje škol nabízejících alternativní vzdělávání</w:t>
      </w:r>
    </w:p>
    <w:p w:rsidR="00F84F32" w:rsidRPr="00407000" w:rsidRDefault="00F84F32" w:rsidP="00407000">
      <w:pPr>
        <w:ind w:firstLine="0"/>
        <w:rPr>
          <w:u w:val="single"/>
        </w:rPr>
      </w:pPr>
      <w:r w:rsidRPr="00407000">
        <w:rPr>
          <w:u w:val="single"/>
        </w:rPr>
        <w:t>Stav opatření:</w:t>
      </w:r>
    </w:p>
    <w:p w:rsidR="00F84F32" w:rsidRPr="00407000" w:rsidRDefault="00F84F32" w:rsidP="000E1ADB">
      <w:r w:rsidRPr="00407000">
        <w:t>Do Místního akčního plánu vzdělávání je zapojena základní škola vzdělávající žáky s prvky Waldorfské pedagogiky. Pedagogové a žáci Waldorfské školy se podílejí na</w:t>
      </w:r>
      <w:r>
        <w:t> </w:t>
      </w:r>
      <w:r w:rsidRPr="00407000">
        <w:t>aktivitách MAP II ať již účastí nebo návrhem aktivit ke klíčovým kompetencím MAP II.</w:t>
      </w:r>
    </w:p>
    <w:p w:rsidR="00F84F32" w:rsidRPr="00407000" w:rsidRDefault="00F84F32" w:rsidP="00AD01FB"/>
    <w:p w:rsidR="00F84F32" w:rsidRPr="00407000" w:rsidRDefault="00F84F32" w:rsidP="00AD01FB"/>
    <w:p w:rsidR="00F84F32" w:rsidRPr="00407000" w:rsidRDefault="00F84F32" w:rsidP="00407000">
      <w:pPr>
        <w:shd w:val="clear" w:color="auto" w:fill="DBE5F1"/>
        <w:ind w:firstLine="0"/>
        <w:rPr>
          <w:b/>
        </w:rPr>
      </w:pPr>
      <w:r w:rsidRPr="00407000">
        <w:rPr>
          <w:b/>
        </w:rPr>
        <w:t>Cíl 1.2 Zefektivnit systém výuky a výchovy včetně kariérového poradenství</w:t>
      </w:r>
    </w:p>
    <w:p w:rsidR="00F84F32" w:rsidRPr="00407000" w:rsidRDefault="00F84F32" w:rsidP="00407000"/>
    <w:tbl>
      <w:tblPr>
        <w:tblW w:w="9582"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1333"/>
        <w:gridCol w:w="1814"/>
        <w:gridCol w:w="1177"/>
        <w:gridCol w:w="1260"/>
        <w:gridCol w:w="1883"/>
        <w:gridCol w:w="928"/>
      </w:tblGrid>
      <w:tr w:rsidR="00F84F32" w:rsidRPr="00407000" w:rsidTr="00A13748">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133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6134"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A13748">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1333" w:type="dxa"/>
            <w:vMerge/>
          </w:tcPr>
          <w:p w:rsidR="00F84F32" w:rsidRPr="00407000" w:rsidRDefault="00F84F32" w:rsidP="00407000">
            <w:pPr>
              <w:widowControl/>
              <w:ind w:firstLine="0"/>
              <w:jc w:val="center"/>
              <w:rPr>
                <w:rFonts w:eastAsia="MS Mincho"/>
                <w:spacing w:val="4"/>
                <w:sz w:val="18"/>
                <w:szCs w:val="18"/>
                <w:lang w:eastAsia="en-US"/>
              </w:rPr>
            </w:pPr>
          </w:p>
        </w:tc>
        <w:tc>
          <w:tcPr>
            <w:tcW w:w="1814" w:type="dxa"/>
            <w:shd w:val="clear" w:color="auto" w:fill="CCCCCC"/>
            <w:vAlign w:val="center"/>
          </w:tcPr>
          <w:p w:rsidR="00F84F32"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 xml:space="preserve">výchozí stav </w:t>
            </w:r>
          </w:p>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w:t>
            </w:r>
            <w:r>
              <w:rPr>
                <w:rFonts w:eastAsia="MS Mincho"/>
                <w:b/>
                <w:spacing w:val="4"/>
                <w:sz w:val="18"/>
                <w:szCs w:val="18"/>
                <w:lang w:eastAsia="en-US"/>
              </w:rPr>
              <w:t>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6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88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A13748">
        <w:trPr>
          <w:trHeight w:val="389"/>
        </w:trPr>
        <w:tc>
          <w:tcPr>
            <w:tcW w:w="560" w:type="dxa"/>
            <w:tcBorders>
              <w:bottom w:val="single" w:sz="12" w:space="0" w:color="000000"/>
            </w:tcBorders>
            <w:vAlign w:val="center"/>
          </w:tcPr>
          <w:p w:rsidR="00F84F32" w:rsidRPr="00407000" w:rsidRDefault="00F84F32" w:rsidP="00407000">
            <w:pPr>
              <w:ind w:firstLine="0"/>
              <w:jc w:val="center"/>
              <w:rPr>
                <w:color w:val="000000"/>
                <w:sz w:val="18"/>
                <w:szCs w:val="18"/>
              </w:rPr>
            </w:pPr>
            <w:r w:rsidRPr="00407000">
              <w:rPr>
                <w:color w:val="000000"/>
                <w:sz w:val="18"/>
                <w:szCs w:val="18"/>
              </w:rPr>
              <w:t>1.2</w:t>
            </w: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5.</w:t>
            </w:r>
          </w:p>
        </w:tc>
        <w:tc>
          <w:tcPr>
            <w:tcW w:w="1333"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 xml:space="preserve">Počet studentů dle oborů středních škol </w:t>
            </w:r>
          </w:p>
        </w:tc>
        <w:tc>
          <w:tcPr>
            <w:tcW w:w="1814" w:type="dxa"/>
            <w:tcBorders>
              <w:bottom w:val="single" w:sz="12" w:space="0" w:color="000000"/>
            </w:tcBorders>
            <w:vAlign w:val="center"/>
          </w:tcPr>
          <w:p w:rsidR="00F84F32" w:rsidRPr="00407000" w:rsidRDefault="00F84F32" w:rsidP="003C665A">
            <w:pPr>
              <w:widowControl/>
              <w:ind w:firstLine="0"/>
              <w:jc w:val="center"/>
              <w:rPr>
                <w:rFonts w:eastAsia="MS Mincho"/>
                <w:spacing w:val="4"/>
                <w:sz w:val="18"/>
                <w:szCs w:val="18"/>
                <w:lang w:eastAsia="en-US"/>
              </w:rPr>
            </w:pPr>
            <w:r w:rsidRPr="00407000">
              <w:rPr>
                <w:rFonts w:eastAsia="MS Mincho"/>
                <w:spacing w:val="4"/>
                <w:sz w:val="18"/>
                <w:szCs w:val="18"/>
                <w:lang w:eastAsia="en-US"/>
              </w:rPr>
              <w:t>Strojírenství/</w:t>
            </w:r>
            <w:r>
              <w:rPr>
                <w:rFonts w:eastAsia="MS Mincho"/>
                <w:spacing w:val="4"/>
                <w:sz w:val="18"/>
                <w:szCs w:val="18"/>
                <w:lang w:eastAsia="en-US"/>
              </w:rPr>
              <w:t>365</w:t>
            </w:r>
          </w:p>
          <w:p w:rsidR="00F84F32" w:rsidRPr="00407000" w:rsidRDefault="00F84F32" w:rsidP="003C665A">
            <w:pPr>
              <w:widowControl/>
              <w:ind w:firstLine="0"/>
              <w:jc w:val="center"/>
              <w:rPr>
                <w:rFonts w:eastAsia="MS Mincho"/>
                <w:spacing w:val="4"/>
                <w:sz w:val="18"/>
                <w:szCs w:val="18"/>
                <w:lang w:eastAsia="en-US"/>
              </w:rPr>
            </w:pPr>
            <w:r w:rsidRPr="00407000">
              <w:rPr>
                <w:rFonts w:eastAsia="MS Mincho"/>
                <w:spacing w:val="4"/>
                <w:sz w:val="18"/>
                <w:szCs w:val="18"/>
                <w:lang w:eastAsia="en-US"/>
              </w:rPr>
              <w:t>Mechanik- elektrotechnik/13</w:t>
            </w:r>
            <w:r>
              <w:rPr>
                <w:rFonts w:eastAsia="MS Mincho"/>
                <w:spacing w:val="4"/>
                <w:sz w:val="18"/>
                <w:szCs w:val="18"/>
                <w:lang w:eastAsia="en-US"/>
              </w:rPr>
              <w:t>7</w:t>
            </w:r>
          </w:p>
          <w:p w:rsidR="00F84F32" w:rsidRPr="00407000" w:rsidRDefault="00F84F32" w:rsidP="003C665A">
            <w:pPr>
              <w:widowControl/>
              <w:ind w:firstLine="0"/>
              <w:jc w:val="center"/>
              <w:rPr>
                <w:rFonts w:eastAsia="MS Mincho"/>
                <w:spacing w:val="4"/>
                <w:sz w:val="18"/>
                <w:szCs w:val="18"/>
                <w:lang w:eastAsia="en-US"/>
              </w:rPr>
            </w:pPr>
            <w:r w:rsidRPr="00407000">
              <w:rPr>
                <w:rFonts w:eastAsia="MS Mincho"/>
                <w:spacing w:val="4"/>
                <w:sz w:val="18"/>
                <w:szCs w:val="18"/>
                <w:lang w:eastAsia="en-US"/>
              </w:rPr>
              <w:t>Elektrotechnika/23</w:t>
            </w:r>
            <w:r>
              <w:rPr>
                <w:rFonts w:eastAsia="MS Mincho"/>
                <w:spacing w:val="4"/>
                <w:sz w:val="18"/>
                <w:szCs w:val="18"/>
                <w:lang w:eastAsia="en-US"/>
              </w:rPr>
              <w:t>3</w:t>
            </w:r>
          </w:p>
          <w:p w:rsidR="00F84F32" w:rsidRPr="00407000" w:rsidRDefault="00F84F32" w:rsidP="003C665A">
            <w:pPr>
              <w:widowControl/>
              <w:ind w:firstLine="0"/>
              <w:jc w:val="center"/>
              <w:rPr>
                <w:rFonts w:eastAsia="MS Mincho"/>
                <w:spacing w:val="4"/>
                <w:sz w:val="18"/>
                <w:szCs w:val="18"/>
                <w:lang w:eastAsia="en-US"/>
              </w:rPr>
            </w:pPr>
            <w:r w:rsidRPr="00407000">
              <w:rPr>
                <w:rFonts w:eastAsia="MS Mincho"/>
                <w:spacing w:val="4"/>
                <w:sz w:val="18"/>
                <w:szCs w:val="18"/>
                <w:lang w:eastAsia="en-US"/>
              </w:rPr>
              <w:t>Zdravotnický asistent/27</w:t>
            </w:r>
            <w:r>
              <w:rPr>
                <w:rFonts w:eastAsia="MS Mincho"/>
                <w:spacing w:val="4"/>
                <w:sz w:val="18"/>
                <w:szCs w:val="18"/>
                <w:lang w:eastAsia="en-US"/>
              </w:rPr>
              <w:t>9</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6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188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Strojírenství/3</w:t>
            </w:r>
            <w:r>
              <w:rPr>
                <w:rFonts w:eastAsia="MS Mincho"/>
                <w:spacing w:val="4"/>
                <w:sz w:val="18"/>
                <w:szCs w:val="18"/>
                <w:lang w:eastAsia="en-US"/>
              </w:rPr>
              <w:t>97</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Mechanik- elektrotechnik/1</w:t>
            </w:r>
            <w:r>
              <w:rPr>
                <w:rFonts w:eastAsia="MS Mincho"/>
                <w:spacing w:val="4"/>
                <w:sz w:val="18"/>
                <w:szCs w:val="18"/>
                <w:lang w:eastAsia="en-US"/>
              </w:rPr>
              <w:t>60</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Elektrotechnika/2</w:t>
            </w:r>
            <w:r>
              <w:rPr>
                <w:rFonts w:eastAsia="MS Mincho"/>
                <w:spacing w:val="4"/>
                <w:sz w:val="18"/>
                <w:szCs w:val="18"/>
                <w:lang w:eastAsia="en-US"/>
              </w:rPr>
              <w:t>34</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Zdravotnický asistent</w:t>
            </w:r>
            <w:r>
              <w:rPr>
                <w:rFonts w:eastAsia="MS Mincho"/>
                <w:spacing w:val="4"/>
                <w:sz w:val="18"/>
                <w:szCs w:val="18"/>
                <w:lang w:eastAsia="en-US"/>
              </w:rPr>
              <w:t>, Praktická sestra</w:t>
            </w:r>
            <w:r w:rsidRPr="00407000">
              <w:rPr>
                <w:rFonts w:eastAsia="MS Mincho"/>
                <w:spacing w:val="4"/>
                <w:sz w:val="18"/>
                <w:szCs w:val="18"/>
                <w:lang w:eastAsia="en-US"/>
              </w:rPr>
              <w:t>/2</w:t>
            </w:r>
            <w:r>
              <w:rPr>
                <w:rFonts w:eastAsia="MS Mincho"/>
                <w:spacing w:val="4"/>
                <w:sz w:val="18"/>
                <w:szCs w:val="18"/>
                <w:lang w:eastAsia="en-US"/>
              </w:rPr>
              <w:t>96</w:t>
            </w:r>
          </w:p>
        </w:tc>
        <w:tc>
          <w:tcPr>
            <w:tcW w:w="928"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6"/>
                <w:szCs w:val="16"/>
                <w:lang w:eastAsia="en-US"/>
              </w:rPr>
            </w:pPr>
          </w:p>
        </w:tc>
      </w:tr>
    </w:tbl>
    <w:p w:rsidR="00F84F32" w:rsidRPr="00407000" w:rsidRDefault="00F84F32" w:rsidP="00407000"/>
    <w:p w:rsidR="00F84F32" w:rsidRPr="00407000" w:rsidRDefault="00F84F32" w:rsidP="00407000">
      <w:r w:rsidRPr="00407000">
        <w:t>Aktivity cíle 1.2 jsou navázány na realizaci Místního akčního plánu vzdělávání v ORP Olomouc a Koncepci rozvoje školství statutárního města Olomouce na období 20</w:t>
      </w:r>
      <w:r>
        <w:t>21</w:t>
      </w:r>
      <w:r w:rsidRPr="00407000">
        <w:t>–202</w:t>
      </w:r>
      <w:r>
        <w:t>5</w:t>
      </w:r>
      <w:r w:rsidRPr="00407000">
        <w:t>. Část aktivit bude realizována ve spolupráci s Univerzitou Palackého v</w:t>
      </w:r>
      <w:r>
        <w:t xml:space="preserve"> </w:t>
      </w:r>
      <w:r w:rsidRPr="00407000">
        <w:t>Olomouci a také v</w:t>
      </w:r>
      <w:r>
        <w:t> </w:t>
      </w:r>
      <w:r w:rsidRPr="00407000">
        <w:t xml:space="preserve">rámci projektu IKAP </w:t>
      </w:r>
      <w:r>
        <w:t xml:space="preserve">II </w:t>
      </w:r>
      <w:r w:rsidRPr="00407000">
        <w:t>Olomoucký kraj.</w:t>
      </w:r>
    </w:p>
    <w:p w:rsidR="00F84F32" w:rsidRPr="00407000" w:rsidRDefault="00F84F32" w:rsidP="00407000"/>
    <w:p w:rsidR="00F84F32" w:rsidRPr="00407000" w:rsidRDefault="00F84F32" w:rsidP="00407000">
      <w:pPr>
        <w:ind w:firstLine="0"/>
        <w:rPr>
          <w:b/>
        </w:rPr>
      </w:pPr>
      <w:r w:rsidRPr="00407000">
        <w:rPr>
          <w:b/>
        </w:rPr>
        <w:t>Opatření 1.2.1 Podpora polytechnického vzdělávání</w:t>
      </w:r>
    </w:p>
    <w:p w:rsidR="00F84F32" w:rsidRPr="00407000" w:rsidRDefault="00F84F32" w:rsidP="00407000">
      <w:pPr>
        <w:ind w:firstLine="0"/>
        <w:rPr>
          <w:u w:val="single"/>
        </w:rPr>
      </w:pPr>
      <w:r w:rsidRPr="00407000">
        <w:rPr>
          <w:u w:val="single"/>
        </w:rPr>
        <w:t>Stav opatření:</w:t>
      </w:r>
    </w:p>
    <w:p w:rsidR="00F84F32" w:rsidRDefault="00F84F32" w:rsidP="000E1ADB">
      <w:r>
        <w:t>V roce 2020 v rámci MAP II bylo navázáno na úspěšnou realizaci exkurzí ve školách a v březnu 2020 byla uskutečněna exkurze na ZŠ Řezníčkova 1 a na ZŠ Dvorského 33. Obě exkurze byly zaměřené na prohlídky školních dílen a ukázky práce v těchto dílnách. Pedagogové, kteří se zúčastnili exkurzí, měli opět možnost si podle návrhu vyrobit výrobek a načerpat spoustu inspirace do hodin pracovních činností.</w:t>
      </w:r>
    </w:p>
    <w:p w:rsidR="00F84F32" w:rsidRDefault="00F84F32" w:rsidP="000E1ADB">
      <w:r>
        <w:t>V červnu 2020 byl ve spolupráci se ZŠ Demlova realizován čtyřdílný cyklus na podporu polytechnické výchovy ve školách pod názvem Polytechnika pro pedagogy 2. stupně. Zájemci měli možnost vybrat si z té</w:t>
      </w:r>
      <w:r w:rsidRPr="00EA3F0B">
        <w:t xml:space="preserve">mat dřevo, dřevo – mechanika, kov a moderní technologie. </w:t>
      </w:r>
    </w:p>
    <w:p w:rsidR="00F84F32" w:rsidRDefault="00F84F32" w:rsidP="000E1ADB">
      <w:r>
        <w:t>Na jaře a na podzim proběhla v rámci podpory polytechnické výchovy a EVVO série 24 realizací programu „</w:t>
      </w:r>
      <w:r w:rsidRPr="00530614">
        <w:t>Den na statku</w:t>
      </w:r>
      <w:r>
        <w:t>“</w:t>
      </w:r>
      <w:r>
        <w:rPr>
          <w:i/>
        </w:rPr>
        <w:t>.</w:t>
      </w:r>
      <w:r>
        <w:t xml:space="preserve"> Program je určen pro děti předškolního věku, 1. a 2. třídy ZŠ a je zaměřen na ukázku života a práce na statku. Každá třída pak obdrží pracovní listy pro další použití ve výuce. Akce si mezi dětmi i učiteli získala velkou oblibu a proto je naplánovaná i pro rok 2021. Program je realizován ve spolupráci se spolkem Od dětství ke štěstí, který byl založen při ZŠ Waldorf.</w:t>
      </w:r>
    </w:p>
    <w:p w:rsidR="00F84F32" w:rsidRPr="005854E9" w:rsidRDefault="00F84F32" w:rsidP="007A1ED5">
      <w:pPr>
        <w:rPr>
          <w:color w:val="000000"/>
        </w:rPr>
      </w:pPr>
      <w:r>
        <w:t xml:space="preserve">Realizace veškerých akcí byla ovlivněna protiepidemickými opatřeními. U většiny programů bylo nutné měnit termíny vzhledem k aktuálním opatřením. </w:t>
      </w:r>
    </w:p>
    <w:p w:rsidR="00F84F32" w:rsidRPr="00407000" w:rsidRDefault="00F84F32" w:rsidP="00AD01FB"/>
    <w:p w:rsidR="00F84F32" w:rsidRPr="00407000" w:rsidRDefault="00F84F32" w:rsidP="00407000">
      <w:pPr>
        <w:ind w:firstLine="0"/>
        <w:rPr>
          <w:b/>
        </w:rPr>
      </w:pPr>
      <w:r w:rsidRPr="00407000">
        <w:rPr>
          <w:b/>
        </w:rPr>
        <w:lastRenderedPageBreak/>
        <w:t>Opatření 1.2.2 Podpora kariérového poradenství včetně práce s rodiči</w:t>
      </w:r>
    </w:p>
    <w:p w:rsidR="00F84F32" w:rsidRPr="00407000" w:rsidRDefault="00F84F32" w:rsidP="00407000">
      <w:pPr>
        <w:ind w:firstLine="0"/>
        <w:rPr>
          <w:u w:val="single"/>
        </w:rPr>
      </w:pPr>
      <w:r w:rsidRPr="00407000">
        <w:rPr>
          <w:u w:val="single"/>
        </w:rPr>
        <w:t>Stav opatření:</w:t>
      </w:r>
    </w:p>
    <w:p w:rsidR="00F84F32" w:rsidRDefault="00F84F32" w:rsidP="00AD01FB">
      <w:r>
        <w:t>Ve spolupráci s Úřadem práce v Olomouci a firmou Salmondo proběhl</w:t>
      </w:r>
      <w:r w:rsidRPr="00780A35">
        <w:t xml:space="preserve"> </w:t>
      </w:r>
      <w:r>
        <w:t xml:space="preserve">v říjnu 2020 </w:t>
      </w:r>
      <w:r>
        <w:br/>
        <w:t xml:space="preserve">on-line workshop na </w:t>
      </w:r>
      <w:r w:rsidRPr="00857568">
        <w:t>téma Testovací nástroje.</w:t>
      </w:r>
      <w:r>
        <w:t xml:space="preserve"> Zájemcům z řad kariérových poradců ze základních škol byly prostřednictvím prezentací představeny metody, jak vhodně pomoci různých testovacích nástrojů žákům zvolit školu a kariéru. Zástupce firmy Salmondo nabídl kariérovým poradcům program obsahující soubor dotazníků, který byl vytvořen s využitím psychologických metod. Akce se zúčastnilo 9 kariérových poradců.</w:t>
      </w:r>
    </w:p>
    <w:p w:rsidR="00F84F32" w:rsidRPr="008D058B" w:rsidRDefault="00F84F32" w:rsidP="00AD01FB">
      <w:r>
        <w:t>V plánu byly naplánovány exkurze do firem v okolí města Olomouce. Ty bohužel v důsledku podzimních protiepidemických opatření byly zrušeny. Pokud okolnosti dovolí, budou tyto akce znovu zorganizovány v průběhu podzimu 2021.</w:t>
      </w:r>
    </w:p>
    <w:p w:rsidR="00F84F32" w:rsidRPr="00407000" w:rsidRDefault="00F84F32" w:rsidP="00AD01FB"/>
    <w:p w:rsidR="00F84F32" w:rsidRPr="00407000" w:rsidRDefault="00F84F32" w:rsidP="00407000">
      <w:pPr>
        <w:ind w:firstLine="0"/>
        <w:rPr>
          <w:b/>
        </w:rPr>
      </w:pPr>
      <w:r w:rsidRPr="00407000">
        <w:rPr>
          <w:b/>
        </w:rPr>
        <w:t>Opatření 1.2.3 Environmentální výchova, vzdělávání a osvěta</w:t>
      </w:r>
    </w:p>
    <w:p w:rsidR="00F84F32" w:rsidRPr="00407000" w:rsidRDefault="00F84F32" w:rsidP="00407000">
      <w:pPr>
        <w:ind w:firstLine="0"/>
        <w:rPr>
          <w:u w:val="single"/>
        </w:rPr>
      </w:pPr>
      <w:r w:rsidRPr="00407000">
        <w:rPr>
          <w:u w:val="single"/>
        </w:rPr>
        <w:t>Stav opatření:</w:t>
      </w:r>
    </w:p>
    <w:p w:rsidR="00F84F32" w:rsidRPr="002C447E" w:rsidRDefault="00F84F32" w:rsidP="00407000">
      <w:r>
        <w:t xml:space="preserve">I přestože byl rok 2020 výrazně ovlivněn pandemií, podařilo se uskutečnit </w:t>
      </w:r>
      <w:r w:rsidRPr="002C447E">
        <w:t xml:space="preserve">127 denních programů pro 2505 žáků MŠ, ZŠ a SŠ. Online proběhla semestrální výuka environmentálního vzdělávání a environmentální etiky pro 24 studentů PřF a PedF UP. V příznivé epidemiologické situaci proběhly tři programy přímo na školách. </w:t>
      </w:r>
    </w:p>
    <w:p w:rsidR="00F84F32" w:rsidRPr="000E5987" w:rsidRDefault="00F84F32" w:rsidP="002C447E">
      <w:r w:rsidRPr="002C447E">
        <w:t>Sluňákov uspořádal 8 pobytových programů pro 302 žáků ZŠ, 8 programů pro 117 dětí s rodiči pro mateřská a rodinná centra. V roce 2020 proběhla letní táborová sezona s 5 příměstskými tábory pro 104 dětí a jeden putovní tábor</w:t>
      </w:r>
      <w:r>
        <w:t>, kterého se zúčastnilo</w:t>
      </w:r>
      <w:r w:rsidRPr="002C447E">
        <w:t xml:space="preserve"> 29 účastníků. Dále proběhlo 8 seminářů a exkurzí pro 102 pedagogů různých tipů škol. Ve spolupráci s</w:t>
      </w:r>
      <w:r>
        <w:t>e</w:t>
      </w:r>
      <w:r w:rsidRPr="002C447E">
        <w:t> SMO</w:t>
      </w:r>
      <w:r>
        <w:t>l</w:t>
      </w:r>
      <w:r w:rsidRPr="002C447E">
        <w:t xml:space="preserve"> Sluňákov realizoval projekt Zručnost zrozená z kouzla materiálů v rámci MAP II vzdělávání ORP Olomouc. Poskytl podporu školám zapojeným do programu Ekoškola – v šesti školách se podařilo završit úsilí ekotýmu auditem a získáním mezinárodního titulu Ekoškola. V rámci programu Odpady pro školy a kampaně Jakpak dopad odpad Sluňákov připravil programy pro 24 skupin a 433 žáků a studentů.</w:t>
      </w:r>
      <w:r>
        <w:t xml:space="preserve"> </w:t>
      </w:r>
      <w:r w:rsidRPr="002C447E">
        <w:t xml:space="preserve">Areál Domu přírody Litovelského Pomoraví (galerie v přírodě) navštívilo přímo v informačním centru v roce 2020 </w:t>
      </w:r>
      <w:r>
        <w:t xml:space="preserve">celkem </w:t>
      </w:r>
      <w:r w:rsidRPr="002C447E">
        <w:t>11</w:t>
      </w:r>
      <w:r>
        <w:t> </w:t>
      </w:r>
      <w:r w:rsidRPr="002C447E">
        <w:t>024 návštěvníků, 1 074 platilo vstupné do Rajské zahrady a Sluneční hory, 300 návštěvníků si vyzkoušelo pátrací hry, 97 návštěvníků absolvovalo komentovanou prohlídku. 156 lidí se zúčastnilo pěti celodenních výletů do krajiny. Návštěvnost volně přístupného areálu se odhaduje na 15 000 návštěvníků ročně. V roce 2020 proběhlo v informačním centru 5 výstav. Bylo uspořádáno13 akcí pro veřejnost a rodiče s</w:t>
      </w:r>
      <w:r>
        <w:t> </w:t>
      </w:r>
      <w:r w:rsidRPr="002C447E">
        <w:t>dětmi s účastí 1 875 lidí. V síti středisek ekologické výchovy Pavučina Sluňákov zajišťoval krajskou koordinaci programu celostátní sítě škol rozvíjejících ekologickou výchovu MRKEV (Metodika a realizace komplexní ekologické výchovy). Do sítě bylo v roce 2020 zapojeno 103 základních a</w:t>
      </w:r>
      <w:r>
        <w:t> </w:t>
      </w:r>
      <w:r w:rsidRPr="002C447E">
        <w:t>středních škol. Probíhala také spolupráce s pedagogy z mateřských škol sdruženými v celostátní síti Mrkvička. V Olomouckém kraji měla v roce 2020 tato síť 122 členů.</w:t>
      </w:r>
      <w:r>
        <w:t xml:space="preserve"> I přes řadu omezení se</w:t>
      </w:r>
      <w:r w:rsidRPr="00900D17">
        <w:t xml:space="preserve"> podařilo uspořádat</w:t>
      </w:r>
      <w:r w:rsidRPr="002C447E">
        <w:t xml:space="preserve"> festival Ekologické dny Olomouc 2020. Festival výrazně ovlivnila epidemiologická situace a špatné počasí, přesto se jej přímo zúčastnilo 3</w:t>
      </w:r>
      <w:r>
        <w:t xml:space="preserve"> </w:t>
      </w:r>
      <w:r w:rsidRPr="002C447E">
        <w:t>787 lidí (besedy, výstavy, výlety, Ekojarmark). Festival proběhl i v prostředí internetu, online a</w:t>
      </w:r>
      <w:r>
        <w:t> </w:t>
      </w:r>
      <w:r w:rsidRPr="002C447E">
        <w:t>záznamy z jednotlivých aktivit festivalu shlédlo téměř 100</w:t>
      </w:r>
      <w:r>
        <w:t xml:space="preserve"> </w:t>
      </w:r>
      <w:r w:rsidRPr="002C447E">
        <w:t>000 lidí. Vzhl</w:t>
      </w:r>
      <w:r w:rsidRPr="00900D17">
        <w:t>edem k vládním opatřením byl</w:t>
      </w:r>
      <w:r>
        <w:t>y</w:t>
      </w:r>
      <w:r w:rsidRPr="002C447E">
        <w:t xml:space="preserve"> zrušeny 4 ekologické večery. Podařilo se uspořádat alespoň dva večery s návštěvností 150 lidí.</w:t>
      </w:r>
    </w:p>
    <w:p w:rsidR="00F84F32" w:rsidRDefault="00F84F32" w:rsidP="00407000"/>
    <w:p w:rsidR="00F84F32" w:rsidRDefault="00F84F32" w:rsidP="001C5824">
      <w:pPr>
        <w:ind w:firstLine="0"/>
      </w:pPr>
    </w:p>
    <w:p w:rsidR="00F84F32" w:rsidRPr="00407000" w:rsidRDefault="00F84F32" w:rsidP="001C5824">
      <w:pPr>
        <w:ind w:firstLine="0"/>
      </w:pPr>
    </w:p>
    <w:p w:rsidR="00F84F32" w:rsidRPr="00407000" w:rsidRDefault="00F84F32" w:rsidP="00407000">
      <w:pPr>
        <w:ind w:firstLine="0"/>
        <w:rPr>
          <w:b/>
        </w:rPr>
      </w:pPr>
      <w:r w:rsidRPr="00407000">
        <w:rPr>
          <w:b/>
        </w:rPr>
        <w:lastRenderedPageBreak/>
        <w:t>Opatření 1.2.4 Podpora rozvoje tělovýchovy a sportu</w:t>
      </w:r>
    </w:p>
    <w:p w:rsidR="00F84F32" w:rsidRPr="00407000" w:rsidRDefault="00F84F32" w:rsidP="00407000">
      <w:pPr>
        <w:ind w:firstLine="0"/>
        <w:rPr>
          <w:u w:val="single"/>
        </w:rPr>
      </w:pPr>
      <w:r w:rsidRPr="00407000">
        <w:rPr>
          <w:u w:val="single"/>
        </w:rPr>
        <w:t>Stav opatření:</w:t>
      </w:r>
    </w:p>
    <w:p w:rsidR="00F84F32" w:rsidRPr="00553A0E" w:rsidRDefault="00F84F32" w:rsidP="002C447E">
      <w:r>
        <w:t>V roce 2020 byly finančně podpořeny školy, které mají svá hřiště pravidelně otevřeny pro veřejnost mimo dobu školní výuky, částka činila 3,5 mil. Kč. Toto opatření bylo v roce 2020 silně ovlivněno protiepidemickými opatřeními, z tohoto důvodu nedošlo k žádným akcím.</w:t>
      </w:r>
    </w:p>
    <w:p w:rsidR="00F84F32" w:rsidRPr="00407000" w:rsidRDefault="00F84F32" w:rsidP="00AD01FB"/>
    <w:p w:rsidR="00F84F32" w:rsidRPr="00407000" w:rsidRDefault="00F84F32" w:rsidP="00407000">
      <w:pPr>
        <w:ind w:firstLine="0"/>
        <w:rPr>
          <w:b/>
        </w:rPr>
      </w:pPr>
      <w:r w:rsidRPr="00407000">
        <w:rPr>
          <w:b/>
        </w:rPr>
        <w:t>Opatření 1.2.5 Prevence rizikového chování žáků</w:t>
      </w:r>
    </w:p>
    <w:p w:rsidR="00F84F32" w:rsidRPr="00407000" w:rsidRDefault="00F84F32" w:rsidP="00407000">
      <w:pPr>
        <w:ind w:firstLine="0"/>
        <w:rPr>
          <w:u w:val="single"/>
        </w:rPr>
      </w:pPr>
      <w:r w:rsidRPr="00407000">
        <w:rPr>
          <w:u w:val="single"/>
        </w:rPr>
        <w:t>Stav opatření:</w:t>
      </w:r>
    </w:p>
    <w:p w:rsidR="00F84F32" w:rsidRPr="00945B9F" w:rsidRDefault="00F84F32" w:rsidP="00945B9F">
      <w:r w:rsidRPr="00945B9F">
        <w:t>Prostřednictvím volnočasových aktivit pro děti napomáhají neziskové organizace v předcházení projevů rizikového chování žáků a nabízejí smysluplné trávení volného času. V roce 2020 byla neziskovým organizacím poskytnuta dotace z rozpočt</w:t>
      </w:r>
      <w:r>
        <w:t>u města v celkové výši 1,15 mil</w:t>
      </w:r>
      <w:r w:rsidRPr="00945B9F">
        <w:t>. Kč. Také poskytnutá dotace města umožnila neziskovým organizacím uspořádat aktivity</w:t>
      </w:r>
      <w:r>
        <w:t>,</w:t>
      </w:r>
      <w:r w:rsidRPr="00945B9F">
        <w:t xml:space="preserve"> jako byly např. Tancem, soutěžemi a zábavou proti obezitě, drogám a nudě, Celoroční zajištění systému programů osobnostního růstu a kreativity (zahrnuje také práci s třídními kolektivy), aktivity jako prevence proti sociálně-patologickým jevům a sociálnímu vyloučení, Umělec je v každém z</w:t>
      </w:r>
      <w:r>
        <w:t> </w:t>
      </w:r>
      <w:r w:rsidRPr="00945B9F">
        <w:t>nás</w:t>
      </w:r>
      <w:r>
        <w:t xml:space="preserve"> </w:t>
      </w:r>
      <w:r w:rsidRPr="00945B9F">
        <w:t>(prevence kriminality a závislostí), Kejklířský rok Cascabel 2020 (integrace dětí se speciálními potřebami, práce s dětmi z pěstounských rodin a dětských domovů).</w:t>
      </w:r>
    </w:p>
    <w:p w:rsidR="00F84F32" w:rsidRDefault="00F84F32" w:rsidP="00945B9F">
      <w:r w:rsidRPr="00945B9F">
        <w:t>Volnočasové aktivity pro děti a mládež pořádané neziskovými organizacemi, D</w:t>
      </w:r>
      <w:r>
        <w:t>omem dětí a mládeže</w:t>
      </w:r>
      <w:r w:rsidRPr="00945B9F">
        <w:t>, školami a dalšími subjekty jsou hlavním zdrojem prevence proti projevům rizikového chování žáků</w:t>
      </w:r>
      <w:r>
        <w:rPr>
          <w:rFonts w:ascii="Arial" w:hAnsi="Arial" w:cs="Arial"/>
          <w:color w:val="000080"/>
          <w:sz w:val="20"/>
          <w:szCs w:val="20"/>
        </w:rPr>
        <w:t>.</w:t>
      </w:r>
    </w:p>
    <w:p w:rsidR="00F84F32" w:rsidRDefault="00F84F32" w:rsidP="002046F6">
      <w:r>
        <w:t>Další p</w:t>
      </w:r>
      <w:r w:rsidRPr="00DC6DF5">
        <w:t>rogram, který byl naplánovaný na rok 2020, byl přesunut z důvodu pandemických opatření na jaro roku 2021. Konkrétně se jednalo o seminář Děti školního věku a on-line závislosti,</w:t>
      </w:r>
      <w:r>
        <w:t xml:space="preserve"> který bude realizován s Davidem Bezdomnikovem ze spolku Podané ruce, s.p.</w:t>
      </w:r>
    </w:p>
    <w:p w:rsidR="00F84F32" w:rsidRDefault="00F84F32" w:rsidP="00407000">
      <w:pPr>
        <w:ind w:firstLine="0"/>
      </w:pPr>
    </w:p>
    <w:p w:rsidR="00F84F32" w:rsidRPr="00407000" w:rsidRDefault="00F84F32" w:rsidP="00407000">
      <w:pPr>
        <w:ind w:firstLine="0"/>
      </w:pPr>
    </w:p>
    <w:p w:rsidR="00F84F32" w:rsidRPr="00407000" w:rsidRDefault="00F84F32" w:rsidP="00407000">
      <w:pPr>
        <w:shd w:val="clear" w:color="auto" w:fill="DBE5F1"/>
        <w:ind w:firstLine="0"/>
        <w:rPr>
          <w:b/>
        </w:rPr>
      </w:pPr>
      <w:r w:rsidRPr="00407000">
        <w:rPr>
          <w:b/>
        </w:rPr>
        <w:t>Cíl 1.3 Systémově podporovat spolupráci vědy s praxí</w:t>
      </w:r>
    </w:p>
    <w:p w:rsidR="00F84F32" w:rsidRPr="00407000" w:rsidRDefault="00F84F32" w:rsidP="00407000"/>
    <w:tbl>
      <w:tblPr>
        <w:tblW w:w="97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163"/>
        <w:gridCol w:w="1080"/>
        <w:gridCol w:w="928"/>
      </w:tblGrid>
      <w:tr w:rsidR="00F84F32" w:rsidRPr="00407000" w:rsidTr="00E70FE8">
        <w:tc>
          <w:tcPr>
            <w:tcW w:w="560" w:type="dxa"/>
            <w:vMerge w:val="restart"/>
            <w:tcBorders>
              <w:top w:val="single" w:sz="12" w:space="0" w:color="000000"/>
            </w:tcBorders>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Cíl</w:t>
            </w:r>
          </w:p>
        </w:tc>
        <w:tc>
          <w:tcPr>
            <w:tcW w:w="627" w:type="dxa"/>
            <w:vMerge w:val="restart"/>
            <w:tcBorders>
              <w:top w:val="single" w:sz="12" w:space="0" w:color="000000"/>
            </w:tcBorders>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Číslo MI</w:t>
            </w:r>
          </w:p>
        </w:tc>
        <w:tc>
          <w:tcPr>
            <w:tcW w:w="2507" w:type="dxa"/>
            <w:vMerge w:val="restart"/>
            <w:tcBorders>
              <w:top w:val="single" w:sz="12" w:space="0" w:color="000000"/>
            </w:tcBorders>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Indikátor</w:t>
            </w:r>
          </w:p>
        </w:tc>
        <w:tc>
          <w:tcPr>
            <w:tcW w:w="5126" w:type="dxa"/>
            <w:gridSpan w:val="4"/>
            <w:tcBorders>
              <w:top w:val="single" w:sz="12" w:space="0" w:color="000000"/>
            </w:tcBorders>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Hodnota</w:t>
            </w:r>
          </w:p>
        </w:tc>
        <w:tc>
          <w:tcPr>
            <w:tcW w:w="928" w:type="dxa"/>
            <w:vMerge w:val="restart"/>
            <w:tcBorders>
              <w:top w:val="single" w:sz="12" w:space="0" w:color="000000"/>
            </w:tcBorders>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Trend plnění</w:t>
            </w:r>
          </w:p>
        </w:tc>
      </w:tr>
      <w:tr w:rsidR="00F84F32" w:rsidRPr="00407000" w:rsidTr="00E70FE8">
        <w:tc>
          <w:tcPr>
            <w:tcW w:w="560" w:type="dxa"/>
            <w:vMerge/>
          </w:tcPr>
          <w:p w:rsidR="00F84F32" w:rsidRPr="00E70FE8" w:rsidRDefault="00F84F32" w:rsidP="00E70FE8">
            <w:pPr>
              <w:widowControl/>
              <w:ind w:firstLine="0"/>
              <w:jc w:val="center"/>
              <w:rPr>
                <w:rFonts w:eastAsia="MS Mincho"/>
                <w:spacing w:val="4"/>
                <w:sz w:val="18"/>
                <w:szCs w:val="18"/>
                <w:lang w:eastAsia="en-US"/>
              </w:rPr>
            </w:pPr>
          </w:p>
        </w:tc>
        <w:tc>
          <w:tcPr>
            <w:tcW w:w="627" w:type="dxa"/>
            <w:vMerge/>
          </w:tcPr>
          <w:p w:rsidR="00F84F32" w:rsidRPr="00E70FE8" w:rsidRDefault="00F84F32" w:rsidP="00E70FE8">
            <w:pPr>
              <w:widowControl/>
              <w:ind w:firstLine="0"/>
              <w:jc w:val="center"/>
              <w:rPr>
                <w:rFonts w:eastAsia="MS Mincho"/>
                <w:spacing w:val="4"/>
                <w:sz w:val="18"/>
                <w:szCs w:val="18"/>
                <w:lang w:eastAsia="en-US"/>
              </w:rPr>
            </w:pPr>
          </w:p>
        </w:tc>
        <w:tc>
          <w:tcPr>
            <w:tcW w:w="2507" w:type="dxa"/>
            <w:vMerge/>
          </w:tcPr>
          <w:p w:rsidR="00F84F32" w:rsidRPr="00E70FE8" w:rsidRDefault="00F84F32" w:rsidP="00E70FE8">
            <w:pPr>
              <w:widowControl/>
              <w:ind w:firstLine="0"/>
              <w:jc w:val="center"/>
              <w:rPr>
                <w:rFonts w:eastAsia="MS Mincho"/>
                <w:spacing w:val="4"/>
                <w:sz w:val="18"/>
                <w:szCs w:val="18"/>
                <w:lang w:eastAsia="en-US"/>
              </w:rPr>
            </w:pPr>
          </w:p>
        </w:tc>
        <w:tc>
          <w:tcPr>
            <w:tcW w:w="1706" w:type="dxa"/>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výchozí stav (2016</w:t>
            </w:r>
            <w:r w:rsidRPr="00407000">
              <w:t>–</w:t>
            </w:r>
            <w:r w:rsidRPr="00E70FE8">
              <w:rPr>
                <w:rFonts w:eastAsia="MS Mincho"/>
                <w:b/>
                <w:spacing w:val="4"/>
                <w:sz w:val="18"/>
                <w:szCs w:val="18"/>
                <w:lang w:eastAsia="en-US"/>
              </w:rPr>
              <w:t>2019)</w:t>
            </w:r>
          </w:p>
        </w:tc>
        <w:tc>
          <w:tcPr>
            <w:tcW w:w="1177" w:type="dxa"/>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cílový stav (2023)</w:t>
            </w:r>
          </w:p>
        </w:tc>
        <w:tc>
          <w:tcPr>
            <w:tcW w:w="1163" w:type="dxa"/>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optimální směr</w:t>
            </w:r>
          </w:p>
        </w:tc>
        <w:tc>
          <w:tcPr>
            <w:tcW w:w="1080" w:type="dxa"/>
            <w:shd w:val="clear" w:color="auto" w:fill="BFBFBF"/>
          </w:tcPr>
          <w:p w:rsidR="00F84F32" w:rsidRPr="00E70FE8" w:rsidRDefault="00F84F32" w:rsidP="00E70FE8">
            <w:pPr>
              <w:widowControl/>
              <w:ind w:firstLine="0"/>
              <w:jc w:val="center"/>
              <w:rPr>
                <w:rFonts w:eastAsia="MS Mincho"/>
                <w:b/>
                <w:spacing w:val="4"/>
                <w:sz w:val="18"/>
                <w:szCs w:val="18"/>
                <w:lang w:eastAsia="en-US"/>
              </w:rPr>
            </w:pPr>
            <w:r w:rsidRPr="00E70FE8">
              <w:rPr>
                <w:rFonts w:eastAsia="MS Mincho"/>
                <w:b/>
                <w:spacing w:val="4"/>
                <w:sz w:val="18"/>
                <w:szCs w:val="18"/>
                <w:lang w:eastAsia="en-US"/>
              </w:rPr>
              <w:t>stav v r. 2020</w:t>
            </w:r>
          </w:p>
        </w:tc>
        <w:tc>
          <w:tcPr>
            <w:tcW w:w="928" w:type="dxa"/>
            <w:vMerge/>
          </w:tcPr>
          <w:p w:rsidR="00F84F32" w:rsidRPr="00E70FE8" w:rsidRDefault="00F84F32" w:rsidP="00E70FE8">
            <w:pPr>
              <w:widowControl/>
              <w:ind w:firstLine="0"/>
              <w:jc w:val="center"/>
              <w:rPr>
                <w:rFonts w:eastAsia="MS Mincho"/>
                <w:spacing w:val="4"/>
                <w:sz w:val="18"/>
                <w:szCs w:val="18"/>
                <w:lang w:eastAsia="en-US"/>
              </w:rPr>
            </w:pPr>
          </w:p>
        </w:tc>
      </w:tr>
      <w:tr w:rsidR="00F84F32" w:rsidRPr="00407000" w:rsidTr="00E70FE8">
        <w:tc>
          <w:tcPr>
            <w:tcW w:w="560" w:type="dxa"/>
            <w:vMerge w:val="restart"/>
          </w:tcPr>
          <w:p w:rsidR="00F84F32" w:rsidRPr="00E70FE8" w:rsidRDefault="00F84F32" w:rsidP="00E70FE8">
            <w:pPr>
              <w:ind w:firstLine="0"/>
              <w:jc w:val="center"/>
              <w:rPr>
                <w:color w:val="000000"/>
                <w:sz w:val="18"/>
                <w:szCs w:val="18"/>
              </w:rPr>
            </w:pPr>
            <w:r w:rsidRPr="00E70FE8">
              <w:rPr>
                <w:color w:val="000000"/>
                <w:sz w:val="18"/>
                <w:szCs w:val="18"/>
              </w:rPr>
              <w:t>1.3</w:t>
            </w:r>
          </w:p>
        </w:tc>
        <w:tc>
          <w:tcPr>
            <w:tcW w:w="627" w:type="dxa"/>
          </w:tcPr>
          <w:p w:rsidR="00F84F32" w:rsidRPr="00E70FE8" w:rsidRDefault="00F84F32" w:rsidP="00E70FE8">
            <w:pPr>
              <w:ind w:firstLine="27"/>
              <w:jc w:val="center"/>
              <w:rPr>
                <w:color w:val="000000"/>
                <w:sz w:val="18"/>
                <w:szCs w:val="18"/>
              </w:rPr>
            </w:pPr>
            <w:r w:rsidRPr="00E70FE8">
              <w:rPr>
                <w:color w:val="000000"/>
                <w:sz w:val="18"/>
                <w:szCs w:val="18"/>
              </w:rPr>
              <w:t>6.</w:t>
            </w:r>
          </w:p>
        </w:tc>
        <w:tc>
          <w:tcPr>
            <w:tcW w:w="2507" w:type="dxa"/>
          </w:tcPr>
          <w:p w:rsidR="00F84F32" w:rsidRPr="00E70FE8" w:rsidRDefault="00F84F32" w:rsidP="00E70FE8">
            <w:pPr>
              <w:ind w:firstLine="0"/>
              <w:jc w:val="left"/>
              <w:rPr>
                <w:sz w:val="18"/>
                <w:szCs w:val="18"/>
              </w:rPr>
            </w:pPr>
            <w:r w:rsidRPr="00E70FE8">
              <w:rPr>
                <w:sz w:val="18"/>
                <w:szCs w:val="18"/>
              </w:rPr>
              <w:t>Počet místních podniků spolupracujících s vysokými školami</w:t>
            </w:r>
            <w:r w:rsidRPr="00E70FE8">
              <w:rPr>
                <w:rStyle w:val="Znakapoznpodarou"/>
                <w:sz w:val="18"/>
                <w:szCs w:val="18"/>
              </w:rPr>
              <w:footnoteReference w:id="15"/>
            </w:r>
          </w:p>
        </w:tc>
        <w:tc>
          <w:tcPr>
            <w:tcW w:w="1706" w:type="dxa"/>
            <w:vAlign w:val="center"/>
          </w:tcPr>
          <w:p w:rsidR="00F84F32" w:rsidRPr="00E70FE8" w:rsidRDefault="00F84F32" w:rsidP="00E70FE8">
            <w:pPr>
              <w:widowControl/>
              <w:ind w:firstLine="0"/>
              <w:jc w:val="center"/>
              <w:rPr>
                <w:rFonts w:eastAsia="MS Mincho"/>
                <w:spacing w:val="4"/>
                <w:sz w:val="18"/>
                <w:szCs w:val="18"/>
                <w:lang w:eastAsia="en-US"/>
              </w:rPr>
            </w:pPr>
            <w:r w:rsidRPr="00E70FE8">
              <w:rPr>
                <w:rFonts w:eastAsia="MS Mincho"/>
                <w:spacing w:val="4"/>
                <w:sz w:val="18"/>
                <w:szCs w:val="18"/>
                <w:lang w:eastAsia="en-US"/>
              </w:rPr>
              <w:t>116</w:t>
            </w:r>
          </w:p>
        </w:tc>
        <w:tc>
          <w:tcPr>
            <w:tcW w:w="1177" w:type="dxa"/>
            <w:vAlign w:val="center"/>
          </w:tcPr>
          <w:p w:rsidR="00F84F32" w:rsidRPr="00E70FE8" w:rsidRDefault="00F84F32" w:rsidP="00E70FE8">
            <w:pPr>
              <w:widowControl/>
              <w:ind w:firstLine="0"/>
              <w:jc w:val="center"/>
              <w:rPr>
                <w:rFonts w:eastAsia="MS Mincho"/>
                <w:spacing w:val="4"/>
                <w:sz w:val="18"/>
                <w:szCs w:val="18"/>
                <w:lang w:eastAsia="en-US"/>
              </w:rPr>
            </w:pPr>
            <w:r w:rsidRPr="00E70FE8">
              <w:rPr>
                <w:rFonts w:eastAsia="MS Mincho"/>
                <w:spacing w:val="4"/>
                <w:sz w:val="18"/>
                <w:szCs w:val="18"/>
                <w:lang w:eastAsia="en-US"/>
              </w:rPr>
              <w:t>bude nastaven</w:t>
            </w:r>
          </w:p>
        </w:tc>
        <w:tc>
          <w:tcPr>
            <w:tcW w:w="1163" w:type="dxa"/>
            <w:vAlign w:val="center"/>
          </w:tcPr>
          <w:p w:rsidR="00F84F32" w:rsidRPr="00E70FE8" w:rsidRDefault="00F84F32" w:rsidP="00E70FE8">
            <w:pPr>
              <w:widowControl/>
              <w:ind w:firstLine="0"/>
              <w:jc w:val="center"/>
              <w:rPr>
                <w:rFonts w:eastAsia="MS Mincho"/>
                <w:spacing w:val="4"/>
                <w:sz w:val="18"/>
                <w:szCs w:val="18"/>
                <w:lang w:eastAsia="en-US"/>
              </w:rPr>
            </w:pPr>
            <w:r w:rsidRPr="00E70FE8">
              <w:rPr>
                <w:rFonts w:eastAsia="MS Mincho"/>
                <w:spacing w:val="4"/>
                <w:sz w:val="18"/>
                <w:szCs w:val="18"/>
                <w:lang w:eastAsia="en-US"/>
              </w:rPr>
              <w:t>↑</w:t>
            </w:r>
          </w:p>
        </w:tc>
        <w:tc>
          <w:tcPr>
            <w:tcW w:w="1080" w:type="dxa"/>
            <w:vAlign w:val="center"/>
          </w:tcPr>
          <w:p w:rsidR="00F84F32" w:rsidRPr="00E70FE8" w:rsidRDefault="00F84F32" w:rsidP="00E70FE8">
            <w:pPr>
              <w:widowControl/>
              <w:ind w:firstLine="0"/>
              <w:jc w:val="center"/>
              <w:rPr>
                <w:rFonts w:eastAsia="MS Mincho"/>
                <w:spacing w:val="4"/>
                <w:sz w:val="18"/>
                <w:szCs w:val="18"/>
                <w:lang w:eastAsia="en-US"/>
              </w:rPr>
            </w:pPr>
            <w:r w:rsidRPr="00E70FE8">
              <w:rPr>
                <w:rFonts w:eastAsia="MS Mincho"/>
                <w:spacing w:val="4"/>
                <w:sz w:val="18"/>
                <w:szCs w:val="18"/>
                <w:lang w:eastAsia="en-US"/>
              </w:rPr>
              <w:t>115*</w:t>
            </w:r>
          </w:p>
        </w:tc>
        <w:tc>
          <w:tcPr>
            <w:tcW w:w="928" w:type="dxa"/>
            <w:shd w:val="clear" w:color="auto" w:fill="FFC000"/>
            <w:vAlign w:val="center"/>
          </w:tcPr>
          <w:p w:rsidR="00F84F32" w:rsidRPr="00E70FE8" w:rsidRDefault="00F84F32" w:rsidP="00E70FE8">
            <w:pPr>
              <w:widowControl/>
              <w:ind w:firstLine="0"/>
              <w:jc w:val="center"/>
              <w:rPr>
                <w:rFonts w:eastAsia="MS Mincho"/>
                <w:spacing w:val="4"/>
                <w:sz w:val="16"/>
                <w:szCs w:val="16"/>
                <w:lang w:eastAsia="en-US"/>
              </w:rPr>
            </w:pPr>
            <w:r w:rsidRPr="00E70FE8">
              <w:rPr>
                <w:sz w:val="32"/>
                <w:szCs w:val="32"/>
              </w:rPr>
              <w:sym w:font="Wingdings" w:char="F04B"/>
            </w:r>
          </w:p>
        </w:tc>
      </w:tr>
      <w:tr w:rsidR="00F84F32" w:rsidRPr="00407000" w:rsidTr="00E70FE8">
        <w:tc>
          <w:tcPr>
            <w:tcW w:w="560" w:type="dxa"/>
            <w:vMerge/>
            <w:tcBorders>
              <w:bottom w:val="single" w:sz="12" w:space="0" w:color="000000"/>
            </w:tcBorders>
          </w:tcPr>
          <w:p w:rsidR="00F84F32" w:rsidRPr="00E70FE8" w:rsidRDefault="00F84F32" w:rsidP="00E70FE8">
            <w:pPr>
              <w:ind w:firstLine="0"/>
              <w:jc w:val="center"/>
              <w:rPr>
                <w:color w:val="000000"/>
                <w:sz w:val="18"/>
                <w:szCs w:val="18"/>
              </w:rPr>
            </w:pPr>
          </w:p>
        </w:tc>
        <w:tc>
          <w:tcPr>
            <w:tcW w:w="627" w:type="dxa"/>
            <w:tcBorders>
              <w:bottom w:val="single" w:sz="12" w:space="0" w:color="000000"/>
            </w:tcBorders>
          </w:tcPr>
          <w:p w:rsidR="00F84F32" w:rsidRPr="00E70FE8" w:rsidRDefault="00F84F32" w:rsidP="00E70FE8">
            <w:pPr>
              <w:ind w:firstLine="27"/>
              <w:jc w:val="center"/>
              <w:rPr>
                <w:color w:val="000000"/>
                <w:sz w:val="18"/>
                <w:szCs w:val="18"/>
              </w:rPr>
            </w:pPr>
            <w:r w:rsidRPr="00E70FE8">
              <w:rPr>
                <w:color w:val="000000"/>
                <w:sz w:val="18"/>
                <w:szCs w:val="18"/>
              </w:rPr>
              <w:t>7.</w:t>
            </w:r>
          </w:p>
        </w:tc>
        <w:tc>
          <w:tcPr>
            <w:tcW w:w="2507" w:type="dxa"/>
            <w:tcBorders>
              <w:bottom w:val="single" w:sz="12" w:space="0" w:color="000000"/>
            </w:tcBorders>
          </w:tcPr>
          <w:p w:rsidR="00F84F32" w:rsidRPr="00E70FE8" w:rsidRDefault="00F84F32" w:rsidP="00E70FE8">
            <w:pPr>
              <w:ind w:firstLine="0"/>
              <w:jc w:val="left"/>
              <w:rPr>
                <w:sz w:val="18"/>
                <w:szCs w:val="18"/>
              </w:rPr>
            </w:pPr>
            <w:r w:rsidRPr="00E70FE8">
              <w:rPr>
                <w:sz w:val="18"/>
                <w:szCs w:val="18"/>
              </w:rPr>
              <w:t>Obrat ze smluvního výzkumu a znalostních služeb zobchodovaných vysokými školami (mil. Kč)</w:t>
            </w:r>
            <w:r w:rsidRPr="00E70FE8">
              <w:rPr>
                <w:rStyle w:val="Znakapoznpodarou"/>
                <w:sz w:val="18"/>
                <w:szCs w:val="18"/>
              </w:rPr>
              <w:footnoteReference w:id="16"/>
            </w:r>
          </w:p>
        </w:tc>
        <w:tc>
          <w:tcPr>
            <w:tcW w:w="1706" w:type="dxa"/>
            <w:tcBorders>
              <w:bottom w:val="single" w:sz="12" w:space="0" w:color="000000"/>
            </w:tcBorders>
            <w:vAlign w:val="center"/>
          </w:tcPr>
          <w:p w:rsidR="00F84F32" w:rsidRPr="00E70FE8" w:rsidRDefault="00F84F32" w:rsidP="00E70FE8">
            <w:pPr>
              <w:widowControl/>
              <w:ind w:firstLine="0"/>
              <w:jc w:val="center"/>
              <w:rPr>
                <w:rFonts w:eastAsia="MS Mincho"/>
                <w:spacing w:val="4"/>
                <w:sz w:val="18"/>
                <w:szCs w:val="18"/>
                <w:lang w:eastAsia="en-US"/>
              </w:rPr>
            </w:pPr>
            <w:r w:rsidRPr="00E70FE8">
              <w:rPr>
                <w:rFonts w:eastAsia="MS Mincho"/>
                <w:spacing w:val="4"/>
                <w:sz w:val="18"/>
                <w:szCs w:val="18"/>
                <w:lang w:eastAsia="en-US"/>
              </w:rPr>
              <w:t>12,75</w:t>
            </w:r>
          </w:p>
        </w:tc>
        <w:tc>
          <w:tcPr>
            <w:tcW w:w="1177" w:type="dxa"/>
            <w:tcBorders>
              <w:bottom w:val="single" w:sz="12" w:space="0" w:color="000000"/>
            </w:tcBorders>
            <w:vAlign w:val="center"/>
          </w:tcPr>
          <w:p w:rsidR="00F84F32" w:rsidRPr="00E70FE8" w:rsidRDefault="00F84F32" w:rsidP="00E70FE8">
            <w:pPr>
              <w:widowControl/>
              <w:ind w:firstLine="0"/>
              <w:jc w:val="center"/>
              <w:rPr>
                <w:rFonts w:eastAsia="MS Mincho"/>
                <w:spacing w:val="4"/>
                <w:sz w:val="18"/>
                <w:szCs w:val="18"/>
                <w:lang w:eastAsia="en-US"/>
              </w:rPr>
            </w:pPr>
            <w:r w:rsidRPr="00E70FE8">
              <w:rPr>
                <w:rFonts w:eastAsia="MS Mincho"/>
                <w:spacing w:val="4"/>
                <w:sz w:val="18"/>
                <w:szCs w:val="18"/>
                <w:lang w:eastAsia="en-US"/>
              </w:rPr>
              <w:t>bude nastaven</w:t>
            </w:r>
          </w:p>
        </w:tc>
        <w:tc>
          <w:tcPr>
            <w:tcW w:w="1163" w:type="dxa"/>
            <w:tcBorders>
              <w:bottom w:val="single" w:sz="12" w:space="0" w:color="000000"/>
            </w:tcBorders>
            <w:vAlign w:val="center"/>
          </w:tcPr>
          <w:p w:rsidR="00F84F32" w:rsidRPr="00E70FE8" w:rsidRDefault="00F84F32" w:rsidP="00E70FE8">
            <w:pPr>
              <w:widowControl/>
              <w:ind w:firstLine="0"/>
              <w:jc w:val="center"/>
              <w:rPr>
                <w:rFonts w:eastAsia="MS Mincho"/>
                <w:spacing w:val="4"/>
                <w:sz w:val="18"/>
                <w:szCs w:val="18"/>
                <w:lang w:eastAsia="en-US"/>
              </w:rPr>
            </w:pPr>
            <w:r w:rsidRPr="00E70FE8">
              <w:rPr>
                <w:rFonts w:eastAsia="MS Mincho"/>
                <w:spacing w:val="4"/>
                <w:sz w:val="18"/>
                <w:szCs w:val="18"/>
                <w:lang w:eastAsia="en-US"/>
              </w:rPr>
              <w:t>↑</w:t>
            </w:r>
          </w:p>
        </w:tc>
        <w:tc>
          <w:tcPr>
            <w:tcW w:w="1080" w:type="dxa"/>
            <w:tcBorders>
              <w:bottom w:val="single" w:sz="12" w:space="0" w:color="000000"/>
            </w:tcBorders>
            <w:vAlign w:val="center"/>
          </w:tcPr>
          <w:p w:rsidR="00F84F32" w:rsidRPr="00E70FE8" w:rsidRDefault="00F84F32" w:rsidP="00E70FE8">
            <w:pPr>
              <w:widowControl/>
              <w:ind w:firstLine="0"/>
              <w:jc w:val="center"/>
              <w:rPr>
                <w:rFonts w:eastAsia="MS Mincho"/>
                <w:spacing w:val="4"/>
                <w:sz w:val="18"/>
                <w:szCs w:val="18"/>
                <w:lang w:eastAsia="en-US"/>
              </w:rPr>
            </w:pPr>
            <w:r w:rsidRPr="00E70FE8">
              <w:rPr>
                <w:rFonts w:eastAsia="MS Mincho"/>
                <w:spacing w:val="4"/>
                <w:sz w:val="18"/>
                <w:szCs w:val="18"/>
                <w:lang w:eastAsia="en-US"/>
              </w:rPr>
              <w:t>3,94**</w:t>
            </w:r>
          </w:p>
        </w:tc>
        <w:tc>
          <w:tcPr>
            <w:tcW w:w="928" w:type="dxa"/>
            <w:tcBorders>
              <w:bottom w:val="single" w:sz="12" w:space="0" w:color="000000"/>
            </w:tcBorders>
            <w:shd w:val="clear" w:color="auto" w:fill="FF0000"/>
            <w:vAlign w:val="center"/>
          </w:tcPr>
          <w:p w:rsidR="00F84F32" w:rsidRPr="00E70FE8" w:rsidRDefault="00F84F32" w:rsidP="00E70FE8">
            <w:pPr>
              <w:widowControl/>
              <w:ind w:firstLine="0"/>
              <w:jc w:val="center"/>
              <w:rPr>
                <w:rFonts w:eastAsia="MS Mincho"/>
                <w:spacing w:val="4"/>
                <w:sz w:val="16"/>
                <w:szCs w:val="16"/>
                <w:lang w:eastAsia="en-US"/>
              </w:rPr>
            </w:pPr>
            <w:r w:rsidRPr="00E70FE8">
              <w:rPr>
                <w:sz w:val="32"/>
                <w:szCs w:val="32"/>
              </w:rPr>
              <w:sym w:font="Wingdings" w:char="F04C"/>
            </w:r>
          </w:p>
        </w:tc>
      </w:tr>
    </w:tbl>
    <w:p w:rsidR="00F84F32" w:rsidRDefault="00F84F32" w:rsidP="0021018C">
      <w:pPr>
        <w:ind w:firstLine="0"/>
      </w:pPr>
      <w:r w:rsidRPr="0021018C">
        <w:rPr>
          <w:sz w:val="20"/>
          <w:szCs w:val="20"/>
        </w:rPr>
        <w:t>Poznámka:</w:t>
      </w:r>
    </w:p>
    <w:p w:rsidR="00F84F32" w:rsidRPr="0021018C" w:rsidRDefault="00F84F32" w:rsidP="0021018C">
      <w:pPr>
        <w:ind w:firstLine="0"/>
        <w:rPr>
          <w:rFonts w:eastAsia="MS Mincho"/>
          <w:spacing w:val="4"/>
          <w:sz w:val="18"/>
          <w:szCs w:val="18"/>
          <w:lang w:eastAsia="en-US"/>
        </w:rPr>
      </w:pPr>
      <w:r w:rsidRPr="0021018C">
        <w:t xml:space="preserve"> </w:t>
      </w:r>
      <w:r>
        <w:rPr>
          <w:rFonts w:eastAsia="MS Mincho"/>
          <w:spacing w:val="4"/>
          <w:sz w:val="18"/>
          <w:szCs w:val="18"/>
          <w:lang w:eastAsia="en-US"/>
        </w:rPr>
        <w:t>* u</w:t>
      </w:r>
      <w:r w:rsidRPr="00CF2EF4">
        <w:rPr>
          <w:rFonts w:eastAsia="MS Mincho"/>
          <w:spacing w:val="4"/>
          <w:sz w:val="18"/>
          <w:szCs w:val="18"/>
          <w:lang w:eastAsia="en-US"/>
        </w:rPr>
        <w:t xml:space="preserve"> Univerzity Palackého v Olomouci se jednalo o 98 firem, u MVŠO</w:t>
      </w:r>
      <w:r>
        <w:rPr>
          <w:rFonts w:eastAsia="MS Mincho"/>
          <w:spacing w:val="4"/>
          <w:sz w:val="18"/>
          <w:szCs w:val="18"/>
          <w:lang w:eastAsia="en-US"/>
        </w:rPr>
        <w:t xml:space="preserve"> o 17 firem.</w:t>
      </w:r>
    </w:p>
    <w:p w:rsidR="00F84F32" w:rsidRPr="0021018C" w:rsidRDefault="00F84F32" w:rsidP="0021018C">
      <w:pPr>
        <w:ind w:firstLine="0"/>
      </w:pPr>
      <w:r>
        <w:rPr>
          <w:rFonts w:eastAsia="MS Mincho"/>
          <w:spacing w:val="4"/>
          <w:sz w:val="18"/>
          <w:szCs w:val="18"/>
          <w:lang w:eastAsia="en-US"/>
        </w:rPr>
        <w:t>** Jedná se o obrat Univerzity Palackého v Olomouci. MVŠO v roce 2020</w:t>
      </w:r>
      <w:r w:rsidRPr="0021018C">
        <w:rPr>
          <w:rFonts w:eastAsia="MS Mincho"/>
          <w:spacing w:val="4"/>
          <w:sz w:val="18"/>
          <w:szCs w:val="18"/>
          <w:lang w:eastAsia="en-US"/>
        </w:rPr>
        <w:t xml:space="preserve"> neposkytovala smluvní výzkum</w:t>
      </w:r>
      <w:r>
        <w:rPr>
          <w:rFonts w:eastAsia="MS Mincho"/>
          <w:spacing w:val="4"/>
          <w:sz w:val="18"/>
          <w:szCs w:val="18"/>
          <w:lang w:eastAsia="en-US"/>
        </w:rPr>
        <w:t>,</w:t>
      </w:r>
      <w:r w:rsidRPr="0021018C">
        <w:rPr>
          <w:rFonts w:eastAsia="MS Mincho"/>
          <w:spacing w:val="4"/>
          <w:sz w:val="18"/>
          <w:szCs w:val="18"/>
          <w:lang w:eastAsia="en-US"/>
        </w:rPr>
        <w:t xml:space="preserve"> ani</w:t>
      </w:r>
      <w:r>
        <w:rPr>
          <w:rFonts w:eastAsia="MS Mincho"/>
          <w:spacing w:val="4"/>
          <w:sz w:val="18"/>
          <w:szCs w:val="18"/>
          <w:lang w:eastAsia="en-US"/>
        </w:rPr>
        <w:t> </w:t>
      </w:r>
      <w:r w:rsidRPr="0021018C">
        <w:rPr>
          <w:rFonts w:eastAsia="MS Mincho"/>
          <w:spacing w:val="4"/>
          <w:sz w:val="18"/>
          <w:szCs w:val="18"/>
          <w:lang w:eastAsia="en-US"/>
        </w:rPr>
        <w:t xml:space="preserve">nerealizovala vedlejší hospodářskou činnost pro firmy na území města Olomouce. </w:t>
      </w:r>
      <w:r>
        <w:rPr>
          <w:rFonts w:eastAsia="MS Mincho"/>
          <w:spacing w:val="4"/>
          <w:sz w:val="18"/>
          <w:szCs w:val="18"/>
          <w:lang w:eastAsia="en-US"/>
        </w:rPr>
        <w:t xml:space="preserve"> </w:t>
      </w:r>
    </w:p>
    <w:p w:rsidR="00F84F32" w:rsidRDefault="00F84F32" w:rsidP="00407000"/>
    <w:p w:rsidR="00F84F32" w:rsidRDefault="00F84F32" w:rsidP="00407000"/>
    <w:p w:rsidR="00F84F32" w:rsidRDefault="00F84F32" w:rsidP="000E1ADB">
      <w:r w:rsidRPr="00E935AD">
        <w:lastRenderedPageBreak/>
        <w:t xml:space="preserve">Naplňování cíle 1.3 je závislé </w:t>
      </w:r>
      <w:r>
        <w:t xml:space="preserve">jak </w:t>
      </w:r>
      <w:r w:rsidRPr="00E935AD">
        <w:t xml:space="preserve">na aktivitách </w:t>
      </w:r>
      <w:r>
        <w:t>Inovačního centra Olomouckého kraje (vzniklo transformací sdružení OK4Inovace, které bylo administrátorem tohoto cíle)</w:t>
      </w:r>
      <w:r w:rsidRPr="00E935AD">
        <w:t>,</w:t>
      </w:r>
      <w:r>
        <w:t xml:space="preserve"> tak</w:t>
      </w:r>
      <w:r w:rsidRPr="00E935AD">
        <w:t xml:space="preserve"> na</w:t>
      </w:r>
      <w:r>
        <w:t xml:space="preserve"> </w:t>
      </w:r>
      <w:r w:rsidRPr="00E935AD">
        <w:t>činnosti a aktivní spolupráci dalších partnerů v</w:t>
      </w:r>
      <w:r>
        <w:t xml:space="preserve"> </w:t>
      </w:r>
      <w:r w:rsidRPr="00E935AD">
        <w:t>území, zejména pak Vědeckotechnického parku Univerzity Palackého v Olomouci, Olomouckého kraje (realizací aktivit projektu Smart Akcelerátor Olomouckého kraje), CzechInvestu – Regionální kanceláře pro Olomoucký kraj, Moravské vysoké školy Olomouc, a dalších.</w:t>
      </w:r>
    </w:p>
    <w:p w:rsidR="00F84F32" w:rsidRPr="00E935AD" w:rsidRDefault="00F84F32" w:rsidP="000E1ADB"/>
    <w:p w:rsidR="00F84F32" w:rsidRPr="00B96A10" w:rsidRDefault="00F84F32" w:rsidP="00407000">
      <w:pPr>
        <w:ind w:firstLine="0"/>
        <w:rPr>
          <w:b/>
          <w:color w:val="000000"/>
        </w:rPr>
      </w:pPr>
      <w:r w:rsidRPr="00B96A10">
        <w:rPr>
          <w:b/>
          <w:color w:val="000000"/>
        </w:rPr>
        <w:t>Opatření 1.3.1 Podpora oborových klastrů a match-makingových akcí a aktivit</w:t>
      </w:r>
    </w:p>
    <w:p w:rsidR="00F84F32" w:rsidRDefault="00F84F32" w:rsidP="00407000">
      <w:pPr>
        <w:ind w:firstLine="0"/>
        <w:rPr>
          <w:color w:val="000000"/>
          <w:u w:val="single"/>
        </w:rPr>
      </w:pPr>
      <w:r w:rsidRPr="00B96A10">
        <w:rPr>
          <w:color w:val="000000"/>
          <w:u w:val="single"/>
        </w:rPr>
        <w:t>Stav opatření:</w:t>
      </w:r>
    </w:p>
    <w:p w:rsidR="00F84F32" w:rsidRPr="001603A8" w:rsidRDefault="00F84F32" w:rsidP="00A314B7">
      <w:r w:rsidRPr="008C06B2">
        <w:t xml:space="preserve">Podpora </w:t>
      </w:r>
      <w:r>
        <w:t xml:space="preserve">dvou </w:t>
      </w:r>
      <w:r w:rsidRPr="008C06B2">
        <w:t>klastrů v rámci dotačního programu Olomouckého kraje Program na</w:t>
      </w:r>
      <w:r>
        <w:t> </w:t>
      </w:r>
      <w:r w:rsidRPr="008C06B2">
        <w:t xml:space="preserve">podporu </w:t>
      </w:r>
      <w:r w:rsidRPr="001603A8">
        <w:t xml:space="preserve">podnikání 2020: </w:t>
      </w:r>
      <w:r w:rsidRPr="001603A8">
        <w:rPr>
          <w:color w:val="000000"/>
        </w:rPr>
        <w:t>klastr MedChemBio (seminář klastru MedChemBio)</w:t>
      </w:r>
      <w:r>
        <w:rPr>
          <w:color w:val="000000"/>
        </w:rPr>
        <w:t xml:space="preserve"> a</w:t>
      </w:r>
      <w:r w:rsidRPr="001603A8">
        <w:rPr>
          <w:color w:val="000000"/>
        </w:rPr>
        <w:t xml:space="preserve"> Český optický klastr (Propagace a rozvoj strategických aktivit Českého optického klastru </w:t>
      </w:r>
      <w:r w:rsidRPr="001603A8">
        <w:rPr>
          <w:kern w:val="24"/>
        </w:rPr>
        <w:t>v r. 2020</w:t>
      </w:r>
      <w:r>
        <w:rPr>
          <w:kern w:val="24"/>
        </w:rPr>
        <w:t>)</w:t>
      </w:r>
      <w:r w:rsidRPr="001603A8">
        <w:rPr>
          <w:kern w:val="24"/>
        </w:rPr>
        <w:t>.</w:t>
      </w:r>
    </w:p>
    <w:p w:rsidR="00F84F32" w:rsidRDefault="00F84F32" w:rsidP="005D29F4"/>
    <w:p w:rsidR="00F84F32" w:rsidRPr="00B96A10" w:rsidRDefault="00F84F32" w:rsidP="00407000">
      <w:pPr>
        <w:ind w:firstLine="0"/>
        <w:rPr>
          <w:b/>
          <w:color w:val="000000"/>
        </w:rPr>
      </w:pPr>
      <w:r w:rsidRPr="00B96A10">
        <w:rPr>
          <w:b/>
          <w:color w:val="000000"/>
        </w:rPr>
        <w:t>Opatření 1.3.2 Podpora měkké infrastruktury</w:t>
      </w:r>
      <w:r w:rsidRPr="00B96A10">
        <w:rPr>
          <w:rStyle w:val="Znakapoznpodarou"/>
          <w:b/>
          <w:color w:val="000000"/>
        </w:rPr>
        <w:footnoteReference w:id="17"/>
      </w:r>
      <w:r w:rsidRPr="00B96A10">
        <w:rPr>
          <w:b/>
          <w:color w:val="000000"/>
        </w:rPr>
        <w:t xml:space="preserve"> k posílení spolupráce vědy s praxí a transferu technologií</w:t>
      </w:r>
    </w:p>
    <w:p w:rsidR="00F84F32" w:rsidRPr="00B96A10" w:rsidRDefault="00F84F32" w:rsidP="00407000">
      <w:pPr>
        <w:ind w:firstLine="0"/>
        <w:rPr>
          <w:color w:val="000000"/>
          <w:u w:val="single"/>
        </w:rPr>
      </w:pPr>
      <w:r w:rsidRPr="00B96A10">
        <w:rPr>
          <w:color w:val="000000"/>
          <w:u w:val="single"/>
        </w:rPr>
        <w:t>Stav opatření:</w:t>
      </w:r>
    </w:p>
    <w:p w:rsidR="00F84F32" w:rsidRPr="00BD15B7" w:rsidRDefault="00F84F32" w:rsidP="00A314B7">
      <w:r w:rsidRPr="00580A4C">
        <w:t>Realizace projektu Smart Akcelerátor Olomouckého kraje II</w:t>
      </w:r>
      <w:r>
        <w:t xml:space="preserve"> (SA OK II)</w:t>
      </w:r>
      <w:r w:rsidRPr="00BD15B7">
        <w:t xml:space="preserve">, jehož cílem je podpora rozvoje inovačního prostředí v kraji s využitím RIS3 strategie. Příjemcem projektu je Olomoucký kraj, hlavním partnerem realizujícím větší část aktivit projektu sdružení </w:t>
      </w:r>
      <w:r>
        <w:t xml:space="preserve">Inovační centrum Olomouckého kraje (viz </w:t>
      </w:r>
      <w:r w:rsidRPr="00C2181F">
        <w:t>https://www.olkraj.cz/smart-akcelerator-olomouckeho-kraje-ii-cl-4787.html</w:t>
      </w:r>
      <w:r w:rsidRPr="00BD15B7">
        <w:t xml:space="preserve">). V rámci realizace projektu </w:t>
      </w:r>
      <w:r>
        <w:t xml:space="preserve">jsou realizovány </w:t>
      </w:r>
      <w:r w:rsidRPr="00BD15B7">
        <w:t>zejména „měkké“</w:t>
      </w:r>
      <w:r w:rsidRPr="00B5386B">
        <w:t xml:space="preserve"> </w:t>
      </w:r>
      <w:r w:rsidRPr="00BD15B7">
        <w:t>aktivity neinvestičního charakteru např.:</w:t>
      </w:r>
    </w:p>
    <w:p w:rsidR="00F84F32" w:rsidRDefault="00F84F32" w:rsidP="00A21A80">
      <w:pPr>
        <w:numPr>
          <w:ilvl w:val="1"/>
          <w:numId w:val="21"/>
        </w:numPr>
        <w:tabs>
          <w:tab w:val="clear" w:pos="1440"/>
          <w:tab w:val="num" w:pos="360"/>
        </w:tabs>
        <w:ind w:left="360"/>
        <w:rPr>
          <w:color w:val="000000"/>
        </w:rPr>
      </w:pPr>
      <w:r w:rsidRPr="00C2181F">
        <w:rPr>
          <w:color w:val="000000"/>
        </w:rPr>
        <w:t xml:space="preserve">Kontaktní místo pro firmy a výzkumné instituce v sídle ICOK v Olomouci. </w:t>
      </w:r>
    </w:p>
    <w:p w:rsidR="00F84F32" w:rsidRDefault="00F84F32" w:rsidP="00A21A80">
      <w:pPr>
        <w:numPr>
          <w:ilvl w:val="1"/>
          <w:numId w:val="21"/>
        </w:numPr>
        <w:tabs>
          <w:tab w:val="clear" w:pos="1440"/>
          <w:tab w:val="num" w:pos="360"/>
        </w:tabs>
        <w:ind w:left="360"/>
        <w:rPr>
          <w:color w:val="000000"/>
        </w:rPr>
      </w:pPr>
      <w:r w:rsidRPr="00C2181F">
        <w:rPr>
          <w:color w:val="000000"/>
        </w:rPr>
        <w:t>Tvorba a implementace RIS3 strategie Olomouckého kraje.</w:t>
      </w:r>
    </w:p>
    <w:p w:rsidR="00F84F32" w:rsidRDefault="00F84F32" w:rsidP="00A21A80">
      <w:pPr>
        <w:numPr>
          <w:ilvl w:val="1"/>
          <w:numId w:val="21"/>
        </w:numPr>
        <w:tabs>
          <w:tab w:val="clear" w:pos="1440"/>
          <w:tab w:val="num" w:pos="360"/>
        </w:tabs>
        <w:ind w:left="360"/>
        <w:rPr>
          <w:color w:val="000000"/>
        </w:rPr>
      </w:pPr>
      <w:r w:rsidRPr="00C2181F">
        <w:rPr>
          <w:color w:val="000000"/>
        </w:rPr>
        <w:t>Setkávání klíčových aktérů v oblasti rozvoje inovačního prostředí v kraji v rámci jednání Krajské rady pro inovace Olomouckého kraje a krajských inovačních platforem Průmysl 4.0 a Life Science, v nichž mají klíčové zastoupení zástupci podnikatelů a výzkumníků.</w:t>
      </w:r>
    </w:p>
    <w:p w:rsidR="00F84F32" w:rsidRDefault="00F84F32" w:rsidP="00A21A80">
      <w:pPr>
        <w:numPr>
          <w:ilvl w:val="1"/>
          <w:numId w:val="21"/>
        </w:numPr>
        <w:tabs>
          <w:tab w:val="clear" w:pos="1440"/>
          <w:tab w:val="num" w:pos="360"/>
        </w:tabs>
        <w:ind w:left="360"/>
        <w:rPr>
          <w:color w:val="000000"/>
        </w:rPr>
      </w:pPr>
      <w:r w:rsidRPr="00C2181F">
        <w:rPr>
          <w:color w:val="000000"/>
        </w:rPr>
        <w:t>Pořádání akcí na podporu rozvoje inovačního prostředí, v roce 2020</w:t>
      </w:r>
      <w:r>
        <w:rPr>
          <w:color w:val="000000"/>
        </w:rPr>
        <w:t xml:space="preserve"> </w:t>
      </w:r>
      <w:r w:rsidRPr="00C2181F">
        <w:rPr>
          <w:color w:val="000000"/>
        </w:rPr>
        <w:t xml:space="preserve">např. matchmakingová akce v oblasti 3D tisku „3D tisk i pro Vaši firmu“ (setkání zástupců firem a výzkumníků na VTP UP v Olomouci). </w:t>
      </w:r>
    </w:p>
    <w:p w:rsidR="00F84F32" w:rsidRDefault="00F84F32" w:rsidP="00A21A80">
      <w:pPr>
        <w:numPr>
          <w:ilvl w:val="1"/>
          <w:numId w:val="21"/>
        </w:numPr>
        <w:tabs>
          <w:tab w:val="clear" w:pos="1440"/>
          <w:tab w:val="num" w:pos="360"/>
        </w:tabs>
        <w:ind w:left="360"/>
        <w:rPr>
          <w:color w:val="000000"/>
        </w:rPr>
      </w:pPr>
      <w:r w:rsidRPr="00C2181F">
        <w:rPr>
          <w:color w:val="000000"/>
        </w:rPr>
        <w:t>Podpora přípravy projektů na podporu rozvoje inovačního prostředí, např. Krajský ekosystém pro podporu podnikání a podnikavosti: preinkubace a inkubace, Přístup ke</w:t>
      </w:r>
      <w:r>
        <w:rPr>
          <w:color w:val="000000"/>
        </w:rPr>
        <w:t> </w:t>
      </w:r>
      <w:r w:rsidRPr="00C2181F">
        <w:rPr>
          <w:color w:val="000000"/>
        </w:rPr>
        <w:t>specializovaným informacím a službám pro rozvoj inovací ve firmách: Zavedení konceptu PLATINN, Centrum inovací a transferu technologií.</w:t>
      </w:r>
    </w:p>
    <w:p w:rsidR="00F84F32" w:rsidRDefault="00F84F32" w:rsidP="00A21A80">
      <w:pPr>
        <w:numPr>
          <w:ilvl w:val="1"/>
          <w:numId w:val="21"/>
        </w:numPr>
        <w:tabs>
          <w:tab w:val="clear" w:pos="1440"/>
          <w:tab w:val="num" w:pos="360"/>
        </w:tabs>
        <w:ind w:left="360"/>
        <w:rPr>
          <w:color w:val="000000"/>
        </w:rPr>
      </w:pPr>
      <w:r w:rsidRPr="00C2181F">
        <w:rPr>
          <w:color w:val="000000"/>
        </w:rPr>
        <w:t>Analýzy inovačního prostředí v kraji (výzkum a vývoj, domény specializace kraje).</w:t>
      </w:r>
    </w:p>
    <w:p w:rsidR="00F84F32" w:rsidRDefault="00F84F32" w:rsidP="00A21A80">
      <w:pPr>
        <w:numPr>
          <w:ilvl w:val="1"/>
          <w:numId w:val="21"/>
        </w:numPr>
        <w:tabs>
          <w:tab w:val="clear" w:pos="1440"/>
          <w:tab w:val="num" w:pos="360"/>
        </w:tabs>
        <w:ind w:left="360"/>
        <w:rPr>
          <w:color w:val="000000"/>
        </w:rPr>
      </w:pPr>
      <w:r w:rsidRPr="00C2181F">
        <w:rPr>
          <w:color w:val="000000"/>
        </w:rPr>
        <w:t>Příprava dotačního programu, jehož cílem je podpora přípravy projektů v oblasti RIS3 (témata inovace, výzkum, spolupráce klíčových aktérů inovačního prostředí).</w:t>
      </w:r>
    </w:p>
    <w:p w:rsidR="00F84F32" w:rsidRDefault="00F84F32" w:rsidP="00A314B7">
      <w:r w:rsidRPr="00580A4C">
        <w:t>Systémová podpora spolupráce vědy s praxí prostřednictvím rozvoje činnosti zájmového sdružení právnických osob Inovační centrum Olomouckého kraje</w:t>
      </w:r>
      <w:r w:rsidRPr="00BD15B7">
        <w:t xml:space="preserve"> (</w:t>
      </w:r>
      <w:r w:rsidRPr="00C2181F">
        <w:t>www.inovaceok.cz</w:t>
      </w:r>
      <w:r w:rsidRPr="00BD15B7">
        <w:t>)</w:t>
      </w:r>
      <w:r>
        <w:t>. Mezi aktivity ICOK realizované nad rámec výše uvedeného projektu SA OK II lze zařadit např.:</w:t>
      </w:r>
    </w:p>
    <w:p w:rsidR="00F84F32" w:rsidRDefault="00F84F32" w:rsidP="00A21A80">
      <w:pPr>
        <w:numPr>
          <w:ilvl w:val="1"/>
          <w:numId w:val="22"/>
        </w:numPr>
        <w:tabs>
          <w:tab w:val="clear" w:pos="1440"/>
          <w:tab w:val="num" w:pos="360"/>
        </w:tabs>
        <w:ind w:left="360"/>
        <w:rPr>
          <w:color w:val="000000"/>
        </w:rPr>
      </w:pPr>
      <w:r w:rsidRPr="00C2181F">
        <w:rPr>
          <w:color w:val="000000"/>
        </w:rPr>
        <w:t>Realizace programu ICOK PLATINN</w:t>
      </w:r>
      <w:r>
        <w:rPr>
          <w:color w:val="000000"/>
        </w:rPr>
        <w:t xml:space="preserve">, </w:t>
      </w:r>
      <w:r w:rsidRPr="00C2181F">
        <w:rPr>
          <w:color w:val="000000"/>
        </w:rPr>
        <w:t>jehož cílem je zvýš</w:t>
      </w:r>
      <w:r>
        <w:rPr>
          <w:color w:val="000000"/>
        </w:rPr>
        <w:t>it</w:t>
      </w:r>
      <w:r w:rsidRPr="00C2181F">
        <w:rPr>
          <w:color w:val="000000"/>
        </w:rPr>
        <w:t xml:space="preserve"> výkonnost a</w:t>
      </w:r>
      <w:r>
        <w:rPr>
          <w:color w:val="000000"/>
        </w:rPr>
        <w:t> </w:t>
      </w:r>
      <w:r w:rsidRPr="00C2181F">
        <w:rPr>
          <w:color w:val="000000"/>
        </w:rPr>
        <w:t xml:space="preserve">konkurenceschopnost firem v Olomouckém kraji prostřednictvím zprostředkování služeb experta v domluvených oblastech, kde firma potřebuje pomoci. V rámci </w:t>
      </w:r>
      <w:r>
        <w:rPr>
          <w:color w:val="000000"/>
        </w:rPr>
        <w:t xml:space="preserve">tohoto </w:t>
      </w:r>
      <w:r w:rsidRPr="00C2181F">
        <w:rPr>
          <w:color w:val="000000"/>
        </w:rPr>
        <w:lastRenderedPageBreak/>
        <w:t>programu proběhla v roce 2020 konzultace pro 5 firem (z toho 3 v ORP Olomouc) v</w:t>
      </w:r>
      <w:r>
        <w:rPr>
          <w:color w:val="000000"/>
        </w:rPr>
        <w:t> </w:t>
      </w:r>
      <w:r w:rsidRPr="00C2181F">
        <w:rPr>
          <w:color w:val="000000"/>
        </w:rPr>
        <w:t xml:space="preserve">celkovém rozsahu 100 hodin (konzultovaná témata zapadají do oblastí business development a finance). </w:t>
      </w:r>
    </w:p>
    <w:p w:rsidR="00F84F32" w:rsidRDefault="00F84F32" w:rsidP="00A21A80">
      <w:pPr>
        <w:widowControl/>
        <w:numPr>
          <w:ilvl w:val="1"/>
          <w:numId w:val="22"/>
        </w:numPr>
        <w:tabs>
          <w:tab w:val="clear" w:pos="1440"/>
          <w:tab w:val="num" w:pos="360"/>
        </w:tabs>
        <w:suppressAutoHyphens/>
        <w:ind w:left="360"/>
        <w:rPr>
          <w:color w:val="000000"/>
        </w:rPr>
      </w:pPr>
      <w:r w:rsidRPr="00C2181F">
        <w:rPr>
          <w:color w:val="000000"/>
        </w:rPr>
        <w:t>Účast v Digitálním inovačním hubu (DIH) zaměřeném do oblasti digitalizace ve</w:t>
      </w:r>
      <w:r>
        <w:rPr>
          <w:color w:val="000000"/>
        </w:rPr>
        <w:t> </w:t>
      </w:r>
      <w:r w:rsidRPr="00C2181F">
        <w:rPr>
          <w:color w:val="000000"/>
        </w:rPr>
        <w:t>zdravotnictví.</w:t>
      </w:r>
    </w:p>
    <w:p w:rsidR="00F84F32" w:rsidRDefault="00F84F32" w:rsidP="00A314B7">
      <w:r w:rsidRPr="00580A4C">
        <w:t>Podpora v rámci dotačního programu Olomouckého kraje Program na podporu podnikání 2020.</w:t>
      </w:r>
      <w:r w:rsidRPr="00BD03F1">
        <w:t xml:space="preserve"> </w:t>
      </w:r>
      <w:r>
        <w:t>D</w:t>
      </w:r>
      <w:r w:rsidRPr="00BD03F1">
        <w:t>otace poskytnuty např. na podporu soutěží Podnik</w:t>
      </w:r>
      <w:r>
        <w:t>a</w:t>
      </w:r>
      <w:r w:rsidRPr="00BD03F1">
        <w:t>vá hlava 2020 (Univerzita Palackého v Olomouci), Soutěž a podnikej 2020 (Nadační fond vzdělávání a</w:t>
      </w:r>
      <w:r>
        <w:t> </w:t>
      </w:r>
      <w:r w:rsidRPr="00BD03F1">
        <w:t>podnikání), MÁŠ NA TO - Akcelerační program - 3.</w:t>
      </w:r>
      <w:r>
        <w:t xml:space="preserve"> </w:t>
      </w:r>
      <w:r w:rsidRPr="00BD03F1">
        <w:t>běh – 2020 (BEC družstvo - Business and Employment Co-operative), nebo podpora poradenství, networkingu apod., např. Pořádání vzdělávacích a networkingových akcí ve Vault 42 (Vault Enterprise z.s.), Smart poradenství &amp; smart akce pro smart kraj (Okresní hospod</w:t>
      </w:r>
      <w:r>
        <w:t>ářská komora Olomouc).</w:t>
      </w:r>
    </w:p>
    <w:p w:rsidR="00F84F32" w:rsidRPr="00B96A10" w:rsidRDefault="00F84F32" w:rsidP="00407000">
      <w:pPr>
        <w:rPr>
          <w:color w:val="000000"/>
        </w:rPr>
      </w:pPr>
    </w:p>
    <w:p w:rsidR="00F84F32" w:rsidRPr="00B96A10" w:rsidRDefault="00F84F32" w:rsidP="00407000">
      <w:pPr>
        <w:ind w:firstLine="0"/>
        <w:rPr>
          <w:b/>
          <w:color w:val="000000"/>
        </w:rPr>
      </w:pPr>
      <w:r w:rsidRPr="00B96A10">
        <w:rPr>
          <w:b/>
          <w:color w:val="000000"/>
        </w:rPr>
        <w:t>Opatření 1.3.3 Podpora navazování mezinárodních spoluprací</w:t>
      </w:r>
    </w:p>
    <w:p w:rsidR="00F84F32" w:rsidRPr="00B96A10" w:rsidRDefault="00F84F32" w:rsidP="00407000">
      <w:pPr>
        <w:ind w:firstLine="0"/>
        <w:rPr>
          <w:color w:val="000000"/>
          <w:u w:val="single"/>
        </w:rPr>
      </w:pPr>
      <w:r w:rsidRPr="00B96A10">
        <w:rPr>
          <w:color w:val="000000"/>
          <w:u w:val="single"/>
        </w:rPr>
        <w:t>Stav opatření:</w:t>
      </w:r>
    </w:p>
    <w:p w:rsidR="00F84F32" w:rsidRPr="008C06B2" w:rsidRDefault="00F84F32" w:rsidP="000E1ADB">
      <w:pPr>
        <w:rPr>
          <w:highlight w:val="yellow"/>
        </w:rPr>
      </w:pPr>
      <w:r w:rsidRPr="008C06B2">
        <w:t xml:space="preserve">S ohledem na </w:t>
      </w:r>
      <w:r>
        <w:t>pandemii Covid</w:t>
      </w:r>
      <w:r w:rsidRPr="008C06B2">
        <w:t>-19 a související vládní opatření v roce 2020 omezující možnost realizace mezinárodních aktivit byly tyto aktivity v oblasti inovací, výzkumu z</w:t>
      </w:r>
      <w:r>
        <w:t> </w:t>
      </w:r>
      <w:r w:rsidRPr="008C06B2">
        <w:t>hlediska ICOK a Olomouckého kraje utlumeny. Nicméně ze strany ICOK probíh</w:t>
      </w:r>
      <w:r>
        <w:t>alo</w:t>
      </w:r>
      <w:r w:rsidRPr="008C06B2">
        <w:t xml:space="preserve"> mapování potenciálních mezinárodních spoluprací a projektů v rámci </w:t>
      </w:r>
      <w:r w:rsidRPr="00762032">
        <w:t>S3</w:t>
      </w:r>
      <w:r w:rsidRPr="008C06B2">
        <w:t xml:space="preserve"> platformy Water Smart Territories.</w:t>
      </w:r>
    </w:p>
    <w:p w:rsidR="00F84F32" w:rsidRDefault="00F84F32" w:rsidP="00407000">
      <w:pPr>
        <w:ind w:firstLine="709"/>
        <w:rPr>
          <w:color w:val="000000"/>
        </w:rPr>
      </w:pPr>
    </w:p>
    <w:p w:rsidR="00F84F32" w:rsidRPr="00B96A10" w:rsidRDefault="00F84F32" w:rsidP="00407000">
      <w:pPr>
        <w:ind w:firstLine="709"/>
        <w:rPr>
          <w:color w:val="000000"/>
        </w:rPr>
      </w:pPr>
    </w:p>
    <w:p w:rsidR="00F84F32" w:rsidRPr="00407000" w:rsidRDefault="00F84F32" w:rsidP="00407000">
      <w:pPr>
        <w:shd w:val="clear" w:color="auto" w:fill="DBE5F1"/>
        <w:ind w:firstLine="0"/>
        <w:rPr>
          <w:b/>
        </w:rPr>
      </w:pPr>
      <w:r w:rsidRPr="00407000">
        <w:rPr>
          <w:b/>
        </w:rPr>
        <w:t>Cíl 1.4 Aktivně spolupracovat s profesními a odbornými partnery, investory a místními podnikateli při zajišťování rozvojových projektů</w:t>
      </w:r>
    </w:p>
    <w:p w:rsidR="00F84F32" w:rsidRPr="00407000" w:rsidRDefault="00F84F32" w:rsidP="00407000"/>
    <w:tbl>
      <w:tblPr>
        <w:tblW w:w="974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260"/>
        <w:gridCol w:w="983"/>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0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126"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507" w:type="dxa"/>
            <w:vMerge/>
          </w:tcPr>
          <w:p w:rsidR="00F84F32" w:rsidRPr="00407000" w:rsidRDefault="00F84F32" w:rsidP="00407000">
            <w:pPr>
              <w:widowControl/>
              <w:ind w:firstLine="0"/>
              <w:jc w:val="center"/>
              <w:rPr>
                <w:rFonts w:eastAsia="MS Mincho"/>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6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98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A33795">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1.4</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8.</w:t>
            </w:r>
          </w:p>
        </w:tc>
        <w:tc>
          <w:tcPr>
            <w:tcW w:w="2507" w:type="dxa"/>
            <w:vAlign w:val="center"/>
          </w:tcPr>
          <w:p w:rsidR="00F84F32" w:rsidRPr="00407000" w:rsidRDefault="00F84F32" w:rsidP="00407000">
            <w:pPr>
              <w:ind w:firstLine="0"/>
              <w:jc w:val="left"/>
              <w:rPr>
                <w:sz w:val="18"/>
                <w:szCs w:val="18"/>
              </w:rPr>
            </w:pPr>
            <w:r w:rsidRPr="00407000">
              <w:rPr>
                <w:sz w:val="18"/>
                <w:szCs w:val="18"/>
              </w:rPr>
              <w:t>Počet/plocha zmodernizovaných objektů či areálů (vč. brownfields) určených k podnikatelským aktivitám (počet/ha)</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n.a.</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2/10</w:t>
            </w:r>
          </w:p>
        </w:tc>
        <w:tc>
          <w:tcPr>
            <w:tcW w:w="126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98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0/0</w:t>
            </w:r>
          </w:p>
        </w:tc>
        <w:tc>
          <w:tcPr>
            <w:tcW w:w="928" w:type="dxa"/>
            <w:shd w:val="clear" w:color="auto" w:fill="FFC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B"/>
            </w:r>
          </w:p>
        </w:tc>
      </w:tr>
      <w:tr w:rsidR="00F84F32" w:rsidRPr="00407000" w:rsidTr="002C447E">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9.</w:t>
            </w:r>
          </w:p>
        </w:tc>
        <w:tc>
          <w:tcPr>
            <w:tcW w:w="2507" w:type="dxa"/>
            <w:vAlign w:val="center"/>
          </w:tcPr>
          <w:p w:rsidR="00F84F32" w:rsidRPr="00407000" w:rsidRDefault="00F84F32" w:rsidP="00407000">
            <w:pPr>
              <w:ind w:firstLine="0"/>
              <w:jc w:val="left"/>
              <w:rPr>
                <w:sz w:val="18"/>
                <w:szCs w:val="18"/>
              </w:rPr>
            </w:pPr>
            <w:r w:rsidRPr="00407000">
              <w:rPr>
                <w:sz w:val="18"/>
                <w:szCs w:val="18"/>
              </w:rPr>
              <w:t>Nová databáze brownfields na území města (A/N)</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26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983"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A</w:t>
            </w:r>
          </w:p>
        </w:tc>
        <w:tc>
          <w:tcPr>
            <w:tcW w:w="928"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B96A10">
        <w:tc>
          <w:tcPr>
            <w:tcW w:w="560" w:type="dxa"/>
            <w:vMerge/>
            <w:tcBorders>
              <w:bottom w:val="single" w:sz="12" w:space="0" w:color="000000"/>
            </w:tcBorders>
            <w:vAlign w:val="center"/>
          </w:tcPr>
          <w:p w:rsidR="00F84F32" w:rsidRPr="00407000" w:rsidRDefault="00F84F32" w:rsidP="00407000">
            <w:pPr>
              <w:ind w:firstLine="0"/>
              <w:jc w:val="center"/>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10.</w:t>
            </w:r>
          </w:p>
        </w:tc>
        <w:tc>
          <w:tcPr>
            <w:tcW w:w="2507"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Poskytnutá asistence místním firmám, developerům a investorům (počet subjektů)</w:t>
            </w:r>
            <w:r>
              <w:rPr>
                <w:rStyle w:val="Znakapoznpodarou"/>
                <w:sz w:val="18"/>
                <w:szCs w:val="18"/>
              </w:rPr>
              <w:footnoteReference w:id="18"/>
            </w:r>
          </w:p>
        </w:tc>
        <w:tc>
          <w:tcPr>
            <w:tcW w:w="1706" w:type="dxa"/>
            <w:tcBorders>
              <w:bottom w:val="single" w:sz="12" w:space="0" w:color="000000"/>
            </w:tcBorders>
            <w:vAlign w:val="center"/>
          </w:tcPr>
          <w:p w:rsidR="00F84F32" w:rsidRPr="00407000" w:rsidRDefault="00F84F32" w:rsidP="00A21A80">
            <w:pPr>
              <w:widowControl/>
              <w:numPr>
                <w:ilvl w:val="0"/>
                <w:numId w:val="19"/>
              </w:numPr>
              <w:jc w:val="center"/>
              <w:rPr>
                <w:rFonts w:eastAsia="MS Mincho"/>
                <w:spacing w:val="4"/>
                <w:sz w:val="18"/>
                <w:szCs w:val="18"/>
                <w:lang w:eastAsia="en-US"/>
              </w:rPr>
            </w:pP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6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98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352</w:t>
            </w:r>
          </w:p>
        </w:tc>
        <w:tc>
          <w:tcPr>
            <w:tcW w:w="928"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6"/>
                <w:szCs w:val="16"/>
                <w:lang w:eastAsia="en-US"/>
              </w:rPr>
            </w:pPr>
          </w:p>
        </w:tc>
      </w:tr>
    </w:tbl>
    <w:p w:rsidR="00F84F32" w:rsidRDefault="00F84F32" w:rsidP="00407000"/>
    <w:p w:rsidR="00F84F32" w:rsidRPr="00407000" w:rsidRDefault="00F84F32" w:rsidP="00407000">
      <w:r w:rsidRPr="00407000">
        <w:t>Naplňování cíle 1.4 je závislé na činnosti a aktivní spolupráci statutárního města Olomouce s dalšími profesními a odbornými partnery (Okresní hospodářskou komorou Olomouc, CzechInvestem – Regionální kanceláří pro Olomoucký kraj, Univerzitou Palackého v Olomouci, a dalšími subjekty), investory a místními podnikateli.</w:t>
      </w:r>
    </w:p>
    <w:p w:rsidR="00F84F32" w:rsidRDefault="00F84F32" w:rsidP="00407000"/>
    <w:p w:rsidR="00F84F32" w:rsidRDefault="00F84F32" w:rsidP="00407000"/>
    <w:p w:rsidR="00F84F32" w:rsidRDefault="00F84F32" w:rsidP="00407000"/>
    <w:p w:rsidR="00F84F32" w:rsidRDefault="00F84F32" w:rsidP="00407000"/>
    <w:p w:rsidR="00F84F32" w:rsidRPr="00407000" w:rsidRDefault="00F84F32" w:rsidP="00407000"/>
    <w:p w:rsidR="00F84F32" w:rsidRPr="00407000" w:rsidRDefault="00F84F32" w:rsidP="00407000">
      <w:pPr>
        <w:ind w:firstLine="0"/>
        <w:rPr>
          <w:b/>
        </w:rPr>
      </w:pPr>
      <w:r w:rsidRPr="00407000">
        <w:rPr>
          <w:b/>
        </w:rPr>
        <w:lastRenderedPageBreak/>
        <w:t>Opatření 1.4.1 Vytváření vhodných ploch k podnikatelským aktivitám vč. regenerace brownfields</w:t>
      </w:r>
    </w:p>
    <w:p w:rsidR="00F84F32" w:rsidRPr="00407000" w:rsidRDefault="00F84F32" w:rsidP="00407000">
      <w:pPr>
        <w:ind w:firstLine="0"/>
        <w:rPr>
          <w:u w:val="single"/>
        </w:rPr>
      </w:pPr>
      <w:r w:rsidRPr="00407000">
        <w:rPr>
          <w:u w:val="single"/>
        </w:rPr>
        <w:t>Stav opatření:</w:t>
      </w:r>
    </w:p>
    <w:p w:rsidR="00F84F32" w:rsidRPr="00485FBB" w:rsidRDefault="00F84F32" w:rsidP="00485FBB">
      <w:r w:rsidRPr="00407000">
        <w:t xml:space="preserve">V roce </w:t>
      </w:r>
      <w:r>
        <w:t>2020</w:t>
      </w:r>
      <w:r w:rsidRPr="00407000">
        <w:t xml:space="preserve"> pokračovalo mapování nevyužitých areálů a ploch typu brownfields na</w:t>
      </w:r>
      <w:r>
        <w:t> </w:t>
      </w:r>
      <w:r w:rsidRPr="00407000">
        <w:t xml:space="preserve">území statutárního města Olomouce. </w:t>
      </w:r>
      <w:r>
        <w:t xml:space="preserve">V první polovině roku byla uveřejněna databáze brownfileds  v nové mapové aplikaci dostupné na webových stránkách </w:t>
      </w:r>
      <w:r w:rsidRPr="006832C1">
        <w:t>https://data.olomouc.eu/aplikace-statutarniho-mesta-olomouce/</w:t>
      </w:r>
      <w:r>
        <w:t xml:space="preserve">. </w:t>
      </w:r>
      <w:r>
        <w:rPr>
          <w:color w:val="000000"/>
        </w:rPr>
        <w:t xml:space="preserve">Návazné </w:t>
      </w:r>
      <w:r w:rsidRPr="003C7322">
        <w:rPr>
          <w:color w:val="000000"/>
        </w:rPr>
        <w:t>práce na přípravě podnikatelské zóny tzv. Kasárna Neředín</w:t>
      </w:r>
      <w:r>
        <w:rPr>
          <w:color w:val="000000"/>
        </w:rPr>
        <w:t xml:space="preserve"> byly pozastaveny z důvodu možného využití areálu pro novou vozovnu DPMO.</w:t>
      </w:r>
    </w:p>
    <w:p w:rsidR="00F84F32" w:rsidRPr="003C7322" w:rsidRDefault="00F84F32" w:rsidP="00407000">
      <w:pPr>
        <w:rPr>
          <w:color w:val="000000"/>
        </w:rPr>
      </w:pPr>
    </w:p>
    <w:p w:rsidR="00F84F32" w:rsidRPr="00407000" w:rsidRDefault="00F84F32" w:rsidP="00407000">
      <w:pPr>
        <w:ind w:firstLine="0"/>
        <w:rPr>
          <w:b/>
        </w:rPr>
      </w:pPr>
      <w:r w:rsidRPr="00407000">
        <w:rPr>
          <w:b/>
        </w:rPr>
        <w:t>Opatření 1.4.2 Poskytování informačních, poradenských, vzdělávacích a networkingových služeb pro rozvoj podnikání, podpora partnerství a rozvoj spolupráce</w:t>
      </w:r>
    </w:p>
    <w:p w:rsidR="00F84F32" w:rsidRPr="00407000" w:rsidRDefault="00F84F32" w:rsidP="00407000">
      <w:pPr>
        <w:ind w:firstLine="0"/>
        <w:rPr>
          <w:u w:val="single"/>
        </w:rPr>
      </w:pPr>
      <w:r w:rsidRPr="00407000">
        <w:rPr>
          <w:u w:val="single"/>
        </w:rPr>
        <w:t>Stav opatření:</w:t>
      </w:r>
    </w:p>
    <w:p w:rsidR="00F84F32" w:rsidRDefault="00F84F32" w:rsidP="000E1ADB">
      <w:r w:rsidRPr="000E1ADB">
        <w:t>Statutární město Olomouc stejně jako jednotliví partneři (např. Okresní hospodářská komora Olomouc, CzechInvest – Regionální kancelář pro Olomoucký kraj, a</w:t>
      </w:r>
      <w:r>
        <w:t> </w:t>
      </w:r>
      <w:r w:rsidRPr="000E1ADB">
        <w:t xml:space="preserve">další) poskytují podnikatelským subjektům poradenský </w:t>
      </w:r>
      <w:r>
        <w:t xml:space="preserve">a konzultační </w:t>
      </w:r>
      <w:r w:rsidRPr="000E1ADB">
        <w:t>servis. Ten spočívá nejen v zasílání relevantních informací, ale i pořádání nejrůzněj</w:t>
      </w:r>
      <w:r>
        <w:t>ší</w:t>
      </w:r>
      <w:r w:rsidRPr="000E1ADB">
        <w:t xml:space="preserve">ch akcí (společensko-networkingové, vzdělávací, odborné a další). Tematické zaměření je různé a reaguje na měnící se legislativu, aktuální trendy i poptávku ze strany cílové skupiny. Realizované akce jsou veskrze otevřeny účastníkům nejen z řad podnikatelů, ale </w:t>
      </w:r>
      <w:r>
        <w:t xml:space="preserve">také zástupcům </w:t>
      </w:r>
      <w:r w:rsidRPr="00D7357B">
        <w:t>veřejn</w:t>
      </w:r>
      <w:r>
        <w:t>é</w:t>
      </w:r>
      <w:r w:rsidRPr="00D7357B">
        <w:t xml:space="preserve"> správ</w:t>
      </w:r>
      <w:r>
        <w:t>y</w:t>
      </w:r>
      <w:r w:rsidRPr="00D7357B">
        <w:t>, aktér</w:t>
      </w:r>
      <w:r>
        <w:t>ům</w:t>
      </w:r>
      <w:r w:rsidRPr="00D7357B">
        <w:t xml:space="preserve"> vzdělávacího systému včetně samotných žáků a studentů. Firmy často využívají dotační poradenství, poradenství v oblasti HR, práva, relevantní je i problematika digitalizace, inovací a další. Nelze opomenout význam akcí s networkingovým přesahem, které jednotlivé aktéry propojují a poskytují platformu pro sdílení know-how i vzájemný byznys mezi regionálními aktéry. </w:t>
      </w:r>
    </w:p>
    <w:p w:rsidR="00F84F32" w:rsidRPr="002C447E" w:rsidRDefault="00F84F32" w:rsidP="000E1ADB">
      <w:pPr>
        <w:rPr>
          <w:color w:val="000000"/>
        </w:rPr>
      </w:pPr>
      <w:r w:rsidRPr="002C447E">
        <w:rPr>
          <w:color w:val="000000"/>
        </w:rPr>
        <w:t xml:space="preserve">CzechInvest i přes komplikovanou situaci související s omezeními v rámci pandemické situace realizoval řadu konzultací a akcí na podporu podnikání, spolupráce a rozvojových aktivit. Velkou měrou se mimo obvyklou činnost zapojil i do poradenských a vzdělávacích aktivit v souvislosti s kompenzačními programy pro firmy a podnikatele v důsledku pandemických omezení (ČMZRB záruční programy pro firmy, Covid-19 Nájemné, obsluha informační linky pro firmy apod.). Část akcí vlastních i partnerských se podařilo zrealizovat osobní formou - např. Startup Klub na Business plese, Seminář k podpoře investic MSP, Miniveletrh dotačních příležitostí a podpory podnikání v Olomouckém kraji, Kulatý stůl Dobrá firemní praxe v době koronavirové. Větší část akcí byla přesunuta do online prostředí, např. Podnikavé ženy, Podnikavá hlava a vzdělávací seminář pro startupy, HR point, </w:t>
      </w:r>
      <w:r>
        <w:rPr>
          <w:color w:val="000000"/>
        </w:rPr>
        <w:t>p</w:t>
      </w:r>
      <w:r w:rsidRPr="002C447E">
        <w:rPr>
          <w:color w:val="000000"/>
        </w:rPr>
        <w:t>anelová diskuze Podporujeme kreativní Olomouc, Konzultační dny pro firmy a podnikatele, UP</w:t>
      </w:r>
      <w:r>
        <w:rPr>
          <w:color w:val="000000"/>
        </w:rPr>
        <w:t> </w:t>
      </w:r>
      <w:r w:rsidRPr="002C447E">
        <w:rPr>
          <w:color w:val="000000"/>
        </w:rPr>
        <w:t xml:space="preserve">Business Camp a Casting pro startupy, Kulatý stůl Vize a priority Olomouckého kraje v oblasti regionálního rozvoje, Smart Region konference. Některé plánované akce musely být z důvodu nepříznivých okolností zrušeny – např. Space Race Hackathon 2.0, Seminář pro začínající podnikatele, Hackni Envelopu, Konference na podporu exportu místních firem. </w:t>
      </w:r>
    </w:p>
    <w:p w:rsidR="00F84F32" w:rsidRDefault="00F84F32" w:rsidP="00774859">
      <w:r>
        <w:t xml:space="preserve">V roce 2020 proběhl pravidelný Průzkum podnikatelského prostředí v Olomouci, do kterého se zapojilo celkem </w:t>
      </w:r>
      <w:r w:rsidRPr="006832C1">
        <w:t>40 firem lokalizovaných v</w:t>
      </w:r>
      <w:r>
        <w:t> </w:t>
      </w:r>
      <w:r w:rsidRPr="006832C1">
        <w:t>Olomouci</w:t>
      </w:r>
      <w:r>
        <w:t>.</w:t>
      </w:r>
    </w:p>
    <w:p w:rsidR="00F84F32" w:rsidRDefault="00F84F32" w:rsidP="00774859">
      <w:r w:rsidRPr="001D7A2F">
        <w:t>SMOl poskytlo příspěvek OHK ve výši 240 tis. Kč na realizaci aktivit přispívajících mj. k poskytování poradenských, informačních, vzdělávacích či právních služeb a k zajištění koordinační a networkingové role, tj. prohloubení vzájemné spolupráce města Olomouce, zástupců podnikatelské veřejnosti a významných stakeholderů.</w:t>
      </w:r>
      <w:r>
        <w:t xml:space="preserve"> OHK zorganizovala setkání zástupců města s vybranými firmami, například s M.L.S. Holice, spol s.r.o., Haryservisem, </w:t>
      </w:r>
      <w:r>
        <w:lastRenderedPageBreak/>
        <w:t xml:space="preserve">OLTIS Group a.s. a Lorika s.r.o. Kontinuálně proběhlo několik ryze pracovních setkání mezi OHK a jednotlivými zástupci vedení SMOl, v některých případech i za účasti firem s cílem řešit konkrétní potřeby podnikatelů. OHK díky poskytnutému příspěvku také každý druhý čtvrtek v měsíci poskytovala oficiální právní poradnu „Legal point ARROWS a OHK“. </w:t>
      </w:r>
      <w:r>
        <w:br/>
        <w:t xml:space="preserve">Ve spojitosti s vládními opatřeními se poradna primárně zaměřila na poskytování informací související s pandemií Covid-19. V rámci pandemie </w:t>
      </w:r>
      <w:r w:rsidRPr="000C0E73">
        <w:t>OHK Olomouc participovala na projektu olomoucsipomaha.cz. OHK Olomouc stála v tomto roce také za vznikem Sdružení olomouckých architektů a</w:t>
      </w:r>
      <w:r>
        <w:t> </w:t>
      </w:r>
      <w:r w:rsidRPr="000C0E73">
        <w:t>stavitelů, ve kterém město získalo dalšího relevantní</w:t>
      </w:r>
      <w:r>
        <w:t>ho partnera, který sdružuje</w:t>
      </w:r>
      <w:r w:rsidRPr="000C0E73">
        <w:t xml:space="preserve"> klíčové investory</w:t>
      </w:r>
      <w:r>
        <w:t xml:space="preserve"> a</w:t>
      </w:r>
      <w:r w:rsidRPr="000C0E73">
        <w:t xml:space="preserve"> developery na území </w:t>
      </w:r>
      <w:r>
        <w:t xml:space="preserve">města. </w:t>
      </w:r>
    </w:p>
    <w:p w:rsidR="00F84F32" w:rsidRPr="00407000" w:rsidRDefault="00F84F32" w:rsidP="000E1ADB">
      <w:r w:rsidRPr="00407000">
        <w:t xml:space="preserve">Statutární město Olomouc se jako nositel integrované strategie ITI Olomoucké aglomerace podílelo na realizaci seminářů a konferencí pro podnikatele, které byly zaměřeny na možnosti získání podpory pro podnikatele a firmy a dále jednotlivým podnikatelským subjektům poskytovalo individuální konzultace k projektovým záměrům. </w:t>
      </w:r>
    </w:p>
    <w:p w:rsidR="00F84F32" w:rsidRPr="00407000" w:rsidRDefault="00F84F32" w:rsidP="000E1ADB"/>
    <w:p w:rsidR="00F84F32" w:rsidRPr="00407000" w:rsidRDefault="00F84F32" w:rsidP="00407000">
      <w:pPr>
        <w:ind w:firstLine="0"/>
        <w:rPr>
          <w:b/>
        </w:rPr>
      </w:pPr>
      <w:r w:rsidRPr="00407000">
        <w:rPr>
          <w:b/>
        </w:rPr>
        <w:t>Opatření 1.4.3 Nastavení pravidel systematické podpory investorů a developerů</w:t>
      </w:r>
    </w:p>
    <w:p w:rsidR="00F84F32" w:rsidRPr="00407000" w:rsidRDefault="00F84F32" w:rsidP="00407000">
      <w:pPr>
        <w:ind w:firstLine="0"/>
        <w:rPr>
          <w:u w:val="single"/>
        </w:rPr>
      </w:pPr>
      <w:r w:rsidRPr="00407000">
        <w:rPr>
          <w:u w:val="single"/>
        </w:rPr>
        <w:t>Stav opatření:</w:t>
      </w:r>
    </w:p>
    <w:p w:rsidR="00F84F32" w:rsidRPr="00407000" w:rsidRDefault="00F84F32" w:rsidP="00AD01FB">
      <w:r>
        <w:t xml:space="preserve">Statutární město Olomouc připravuje mimo jiné i ve spolupráci s investory a developery Zásady pro spolupráci s investory na rozvoji veřejné infrastruktury s cílem zajistit kvalitu veřejných prostranství, motivovat udržitelný rozvoj města, podpořit žádoucí trendy ve výstavbě města, nastavit předvídatelná a transparentní pravidla pro město i investory, zajistit vyvážený podíl na nákladech zvýšené zátěže území </w:t>
      </w:r>
    </w:p>
    <w:p w:rsidR="00F84F32" w:rsidRDefault="00F84F32" w:rsidP="00AD01FB"/>
    <w:p w:rsidR="00F84F32" w:rsidRPr="00407000" w:rsidRDefault="00F84F32" w:rsidP="00AD01FB"/>
    <w:p w:rsidR="00F84F32" w:rsidRPr="00407000" w:rsidRDefault="00F84F32" w:rsidP="00407000">
      <w:pPr>
        <w:shd w:val="clear" w:color="auto" w:fill="DBE5F1"/>
        <w:ind w:firstLine="0"/>
        <w:rPr>
          <w:b/>
        </w:rPr>
      </w:pPr>
      <w:r w:rsidRPr="00407000">
        <w:rPr>
          <w:b/>
        </w:rPr>
        <w:t>Cíl 1.5 Podporovat inovace a kulturně kreativní průmysly</w:t>
      </w:r>
    </w:p>
    <w:p w:rsidR="00F84F32" w:rsidRPr="00407000" w:rsidRDefault="00F84F32" w:rsidP="00407000"/>
    <w:tbl>
      <w:tblPr>
        <w:tblW w:w="9676"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0"/>
        <w:gridCol w:w="700"/>
        <w:gridCol w:w="2520"/>
        <w:gridCol w:w="1640"/>
        <w:gridCol w:w="1080"/>
        <w:gridCol w:w="1260"/>
        <w:gridCol w:w="1080"/>
        <w:gridCol w:w="856"/>
      </w:tblGrid>
      <w:tr w:rsidR="00F84F32" w:rsidRPr="00407000" w:rsidTr="00B96A10">
        <w:trPr>
          <w:tblHeader/>
        </w:trPr>
        <w:tc>
          <w:tcPr>
            <w:tcW w:w="54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70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2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060"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856"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4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70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520" w:type="dxa"/>
            <w:vMerge/>
          </w:tcPr>
          <w:p w:rsidR="00F84F32" w:rsidRPr="00407000" w:rsidRDefault="00F84F32" w:rsidP="00407000">
            <w:pPr>
              <w:widowControl/>
              <w:ind w:firstLine="0"/>
              <w:jc w:val="center"/>
              <w:rPr>
                <w:rFonts w:eastAsia="MS Mincho"/>
                <w:spacing w:val="4"/>
                <w:sz w:val="18"/>
                <w:szCs w:val="18"/>
                <w:lang w:eastAsia="en-US"/>
              </w:rPr>
            </w:pPr>
          </w:p>
        </w:tc>
        <w:tc>
          <w:tcPr>
            <w:tcW w:w="164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6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856"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2C447E">
        <w:tc>
          <w:tcPr>
            <w:tcW w:w="54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1.5</w:t>
            </w:r>
          </w:p>
        </w:tc>
        <w:tc>
          <w:tcPr>
            <w:tcW w:w="700" w:type="dxa"/>
            <w:vAlign w:val="center"/>
          </w:tcPr>
          <w:p w:rsidR="00F84F32" w:rsidRPr="00407000" w:rsidRDefault="00F84F32" w:rsidP="00407000">
            <w:pPr>
              <w:ind w:firstLine="27"/>
              <w:jc w:val="center"/>
              <w:rPr>
                <w:color w:val="000000"/>
                <w:sz w:val="18"/>
                <w:szCs w:val="18"/>
              </w:rPr>
            </w:pPr>
            <w:r w:rsidRPr="00407000">
              <w:rPr>
                <w:color w:val="000000"/>
                <w:sz w:val="18"/>
                <w:szCs w:val="18"/>
              </w:rPr>
              <w:t>11.</w:t>
            </w:r>
          </w:p>
        </w:tc>
        <w:tc>
          <w:tcPr>
            <w:tcW w:w="2520" w:type="dxa"/>
            <w:vAlign w:val="center"/>
          </w:tcPr>
          <w:p w:rsidR="00F84F32" w:rsidRPr="00407000" w:rsidRDefault="00F84F32" w:rsidP="00407000">
            <w:pPr>
              <w:ind w:firstLine="0"/>
              <w:jc w:val="left"/>
              <w:rPr>
                <w:sz w:val="18"/>
                <w:szCs w:val="18"/>
              </w:rPr>
            </w:pPr>
            <w:r w:rsidRPr="00407000">
              <w:rPr>
                <w:sz w:val="18"/>
                <w:szCs w:val="18"/>
              </w:rPr>
              <w:t>Poskytnutá asistence v oblasti inovací a KKP (počet subjektů)</w:t>
            </w:r>
          </w:p>
        </w:tc>
        <w:tc>
          <w:tcPr>
            <w:tcW w:w="164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33</w:t>
            </w:r>
          </w:p>
        </w:tc>
        <w:tc>
          <w:tcPr>
            <w:tcW w:w="1080" w:type="dxa"/>
            <w:vAlign w:val="center"/>
          </w:tcPr>
          <w:p w:rsidR="00F84F32" w:rsidRPr="00407000" w:rsidRDefault="00F84F32" w:rsidP="00B96A10">
            <w:pPr>
              <w:widowControl/>
              <w:ind w:firstLine="0"/>
              <w:jc w:val="center"/>
              <w:rPr>
                <w:rFonts w:eastAsia="MS Mincho"/>
                <w:spacing w:val="4"/>
                <w:sz w:val="18"/>
                <w:szCs w:val="18"/>
                <w:lang w:eastAsia="en-US"/>
              </w:rPr>
            </w:pPr>
            <w:r>
              <w:rPr>
                <w:rFonts w:eastAsia="MS Mincho"/>
                <w:spacing w:val="4"/>
                <w:sz w:val="18"/>
                <w:szCs w:val="18"/>
                <w:lang w:eastAsia="en-US"/>
              </w:rPr>
              <w:t>40</w:t>
            </w:r>
          </w:p>
        </w:tc>
        <w:tc>
          <w:tcPr>
            <w:tcW w:w="126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38</w:t>
            </w:r>
          </w:p>
        </w:tc>
        <w:tc>
          <w:tcPr>
            <w:tcW w:w="856"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B96A10">
        <w:trPr>
          <w:trHeight w:val="416"/>
        </w:trPr>
        <w:tc>
          <w:tcPr>
            <w:tcW w:w="540" w:type="dxa"/>
            <w:vMerge/>
            <w:tcBorders>
              <w:bottom w:val="single" w:sz="12" w:space="0" w:color="000000"/>
            </w:tcBorders>
            <w:vAlign w:val="center"/>
          </w:tcPr>
          <w:p w:rsidR="00F84F32" w:rsidRPr="00407000" w:rsidRDefault="00F84F32" w:rsidP="00407000">
            <w:pPr>
              <w:ind w:firstLine="0"/>
              <w:jc w:val="center"/>
              <w:rPr>
                <w:color w:val="000000"/>
                <w:sz w:val="18"/>
                <w:szCs w:val="18"/>
              </w:rPr>
            </w:pPr>
          </w:p>
        </w:tc>
        <w:tc>
          <w:tcPr>
            <w:tcW w:w="700"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12.</w:t>
            </w:r>
          </w:p>
        </w:tc>
        <w:tc>
          <w:tcPr>
            <w:tcW w:w="2520"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Počet akcí zaměřených na</w:t>
            </w:r>
            <w:r>
              <w:rPr>
                <w:sz w:val="18"/>
                <w:szCs w:val="18"/>
              </w:rPr>
              <w:t> </w:t>
            </w:r>
            <w:r w:rsidRPr="00407000">
              <w:rPr>
                <w:sz w:val="18"/>
                <w:szCs w:val="18"/>
              </w:rPr>
              <w:t xml:space="preserve">podporu inovací a KKP </w:t>
            </w:r>
          </w:p>
        </w:tc>
        <w:tc>
          <w:tcPr>
            <w:tcW w:w="164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8</w:t>
            </w:r>
          </w:p>
        </w:tc>
        <w:tc>
          <w:tcPr>
            <w:tcW w:w="1080" w:type="dxa"/>
            <w:tcBorders>
              <w:bottom w:val="single" w:sz="12" w:space="0" w:color="000000"/>
            </w:tcBorders>
            <w:vAlign w:val="center"/>
          </w:tcPr>
          <w:p w:rsidR="00F84F32" w:rsidRPr="00407000" w:rsidRDefault="00F84F32" w:rsidP="00B96A10">
            <w:pPr>
              <w:widowControl/>
              <w:ind w:firstLine="0"/>
              <w:jc w:val="center"/>
              <w:rPr>
                <w:rFonts w:eastAsia="MS Mincho"/>
                <w:spacing w:val="4"/>
                <w:sz w:val="18"/>
                <w:szCs w:val="18"/>
                <w:lang w:eastAsia="en-US"/>
              </w:rPr>
            </w:pPr>
            <w:r>
              <w:rPr>
                <w:rFonts w:eastAsia="MS Mincho"/>
                <w:spacing w:val="4"/>
                <w:sz w:val="18"/>
                <w:szCs w:val="18"/>
                <w:lang w:eastAsia="en-US"/>
              </w:rPr>
              <w:t>12</w:t>
            </w:r>
          </w:p>
        </w:tc>
        <w:tc>
          <w:tcPr>
            <w:tcW w:w="126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19</w:t>
            </w:r>
          </w:p>
        </w:tc>
        <w:tc>
          <w:tcPr>
            <w:tcW w:w="856" w:type="dxa"/>
            <w:tcBorders>
              <w:bottom w:val="single" w:sz="12" w:space="0" w:color="000000"/>
            </w:tcBorders>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bl>
    <w:p w:rsidR="00F84F32" w:rsidRDefault="00F84F32" w:rsidP="00407000"/>
    <w:p w:rsidR="00F84F32" w:rsidRDefault="00F84F32" w:rsidP="00407000">
      <w:r w:rsidRPr="00407000">
        <w:t>Naplňování cíle 1.5 je závislé na činnosti a aktivní spolupráci statutárního města Olomouce a dalších partnerů v území, zejména pak Univerzity Palackého v Olomouci, Olomouckého kraje, coworkingov</w:t>
      </w:r>
      <w:r>
        <w:t>ých</w:t>
      </w:r>
      <w:r w:rsidRPr="00407000">
        <w:t xml:space="preserve"> center, CzechInvestu – Regionální kanceláře pro Olomoucký kraj, a dalších. Pro rozvoj Kulturních a kreativních průmyslů v Olomouci je nezbytnou podmínkou koordinovaná komunikace zástupců KKP s představiteli místní samosprávy.</w:t>
      </w:r>
    </w:p>
    <w:p w:rsidR="00F84F32" w:rsidRPr="00407000" w:rsidRDefault="00F84F32" w:rsidP="00407000"/>
    <w:p w:rsidR="00F84F32" w:rsidRPr="00407000" w:rsidRDefault="00F84F32" w:rsidP="00407000">
      <w:pPr>
        <w:ind w:firstLine="0"/>
        <w:rPr>
          <w:b/>
          <w:color w:val="000000"/>
        </w:rPr>
      </w:pPr>
      <w:r w:rsidRPr="00407000">
        <w:rPr>
          <w:b/>
          <w:color w:val="000000"/>
        </w:rPr>
        <w:t>Opatření 1.5.1 Podpora kompetencí žáků a studentů k podnikavosti, iniciativě a kreativitě</w:t>
      </w:r>
    </w:p>
    <w:p w:rsidR="00F84F32" w:rsidRPr="00407000" w:rsidRDefault="00F84F32" w:rsidP="00407000">
      <w:pPr>
        <w:ind w:firstLine="0"/>
        <w:rPr>
          <w:u w:val="single"/>
        </w:rPr>
      </w:pPr>
      <w:r w:rsidRPr="00407000">
        <w:rPr>
          <w:u w:val="single"/>
        </w:rPr>
        <w:t>Stav opatření:</w:t>
      </w:r>
    </w:p>
    <w:p w:rsidR="00F84F32" w:rsidRDefault="00F84F32" w:rsidP="00485FBB">
      <w:r>
        <w:t>Z důvodu pandemie Covid-19 nebylo opatření v roce 2020 naplňováno.</w:t>
      </w:r>
    </w:p>
    <w:p w:rsidR="00F84F32" w:rsidRDefault="00F84F32" w:rsidP="00407000"/>
    <w:p w:rsidR="00F84F32" w:rsidRDefault="00F84F32" w:rsidP="00407000"/>
    <w:p w:rsidR="00F84F32" w:rsidRDefault="00F84F32" w:rsidP="00407000"/>
    <w:p w:rsidR="00F84F32" w:rsidRPr="003C7322" w:rsidRDefault="00F84F32" w:rsidP="00407000"/>
    <w:p w:rsidR="00F84F32" w:rsidRPr="00407000" w:rsidRDefault="00F84F32" w:rsidP="00407000">
      <w:pPr>
        <w:ind w:firstLine="0"/>
        <w:rPr>
          <w:b/>
        </w:rPr>
      </w:pPr>
      <w:r w:rsidRPr="00407000">
        <w:rPr>
          <w:b/>
        </w:rPr>
        <w:lastRenderedPageBreak/>
        <w:t>Opatření 1.5.2 Podpora spolupráce subjektů KKP a zvýšení jejich konkurenceschopnosti</w:t>
      </w:r>
    </w:p>
    <w:p w:rsidR="00F84F32" w:rsidRPr="00407000" w:rsidRDefault="00F84F32" w:rsidP="00407000">
      <w:pPr>
        <w:ind w:firstLine="0"/>
        <w:rPr>
          <w:u w:val="single"/>
        </w:rPr>
      </w:pPr>
      <w:r w:rsidRPr="00407000">
        <w:rPr>
          <w:u w:val="single"/>
        </w:rPr>
        <w:t>Stav opatření:</w:t>
      </w:r>
    </w:p>
    <w:p w:rsidR="00F84F32" w:rsidRDefault="00F84F32" w:rsidP="00407000">
      <w:r w:rsidRPr="00407000">
        <w:t xml:space="preserve">Univerzita Palackého </w:t>
      </w:r>
      <w:r>
        <w:t xml:space="preserve">v roce </w:t>
      </w:r>
      <w:r w:rsidRPr="00407000">
        <w:t>20</w:t>
      </w:r>
      <w:r>
        <w:t>20 pokračovala</w:t>
      </w:r>
      <w:r w:rsidRPr="00407000">
        <w:t xml:space="preserve"> v aktivitách zaměřených na KKP prostřednictvím projektu s</w:t>
      </w:r>
      <w:r>
        <w:t xml:space="preserve"> </w:t>
      </w:r>
      <w:r w:rsidRPr="00407000">
        <w:t xml:space="preserve">názvem </w:t>
      </w:r>
      <w:hyperlink r:id="rId13" w:tgtFrame="_blank" w:history="1">
        <w:r w:rsidRPr="00407000">
          <w:t>Výzkum motivací aktérů kreativních průmyslů v</w:t>
        </w:r>
        <w:r>
          <w:t> O</w:t>
        </w:r>
        <w:r w:rsidRPr="00407000">
          <w:t>lomoucké aglomeraci a návrh strategie pro posílení segmentu</w:t>
        </w:r>
      </w:hyperlink>
      <w:r w:rsidRPr="00407000">
        <w:t xml:space="preserve"> (podpořený TA ČR)</w:t>
      </w:r>
      <w:r>
        <w:t>, v rámci kterého je statutární město Olomouc tzv. aplikačním garantem</w:t>
      </w:r>
      <w:r w:rsidRPr="00407000">
        <w:t>.</w:t>
      </w:r>
      <w:r>
        <w:t xml:space="preserve"> V rámci tohoto projektu byla v první polovině roku 2020 zveřejněna kampaň </w:t>
      </w:r>
      <w:r w:rsidRPr="00517585">
        <w:t>“</w:t>
      </w:r>
      <w:hyperlink r:id="rId14" w:history="1">
        <w:r w:rsidRPr="00517585">
          <w:t>Podporujeme kreativní Olomouc</w:t>
        </w:r>
      </w:hyperlink>
      <w:r w:rsidRPr="00517585">
        <w:t>”, která měla široký ohlas v lokálních i celostátních médiích.</w:t>
      </w:r>
      <w:r>
        <w:t xml:space="preserve"> U</w:t>
      </w:r>
      <w:r w:rsidRPr="00987DE0">
        <w:t xml:space="preserve"> příležitosti závěru projektu </w:t>
      </w:r>
      <w:r>
        <w:t xml:space="preserve">se v rámci </w:t>
      </w:r>
      <w:r w:rsidRPr="00987DE0">
        <w:t>5</w:t>
      </w:r>
      <w:r>
        <w:t>.</w:t>
      </w:r>
      <w:r w:rsidRPr="00987DE0">
        <w:t xml:space="preserve"> Olomo</w:t>
      </w:r>
      <w:r>
        <w:t>uckého kulturního fóra uskutečnila</w:t>
      </w:r>
      <w:r w:rsidRPr="00987DE0">
        <w:t xml:space="preserve"> </w:t>
      </w:r>
      <w:r>
        <w:t xml:space="preserve">online </w:t>
      </w:r>
      <w:r w:rsidRPr="00987DE0">
        <w:t xml:space="preserve">panelová diskuze kulturní a kreativní sféry se zástupci vedení města, kraje, univerzity a </w:t>
      </w:r>
      <w:r>
        <w:t xml:space="preserve">s </w:t>
      </w:r>
      <w:r w:rsidRPr="00987DE0">
        <w:t>dalšími aktéry v této oblasti.</w:t>
      </w:r>
      <w:r>
        <w:t xml:space="preserve"> Univerzitní tým představil</w:t>
      </w:r>
      <w:r w:rsidRPr="00987DE0">
        <w:t xml:space="preserve"> výsledky šetření fenoménu brain drain a brain gain Olomouce jako kreativního města</w:t>
      </w:r>
      <w:r>
        <w:t xml:space="preserve">. </w:t>
      </w:r>
      <w:r w:rsidRPr="00723A99">
        <w:t>V rámci řešeného projektu TA ČR byly veškeré zjištěné poznatky sumarizovány a vydány formou veřejně dostupné </w:t>
      </w:r>
      <w:hyperlink r:id="rId15" w:history="1">
        <w:r w:rsidRPr="00723A99">
          <w:t>publikace “Motivace aktérů kreativních průmyslů v olomoucké aglomeraci: Strategie a doporučení pro posílení segmentu”</w:t>
        </w:r>
      </w:hyperlink>
      <w:r w:rsidRPr="00723A99">
        <w:t> a </w:t>
      </w:r>
      <w:hyperlink r:id="rId16" w:history="1">
        <w:r w:rsidRPr="00723A99">
          <w:t>mapové přílohy (specializované mapy) “Fenomén brain drain města Olomouce – Odliv lidského kapitálu z Olomouc</w:t>
        </w:r>
        <w:r>
          <w:t>e do českých obcí v letech 2001</w:t>
        </w:r>
        <w:r w:rsidRPr="00407000">
          <w:rPr>
            <w:color w:val="000000"/>
          </w:rPr>
          <w:t>–</w:t>
        </w:r>
        <w:r w:rsidRPr="00723A99">
          <w:t>2020”</w:t>
        </w:r>
      </w:hyperlink>
      <w:r w:rsidRPr="00723A99">
        <w:t>.</w:t>
      </w:r>
    </w:p>
    <w:p w:rsidR="00F84F32" w:rsidRPr="00407000" w:rsidRDefault="00F84F32" w:rsidP="009D11CA">
      <w:pPr>
        <w:ind w:firstLine="0"/>
      </w:pPr>
    </w:p>
    <w:p w:rsidR="00F84F32" w:rsidRDefault="00F84F32" w:rsidP="00407000">
      <w:pPr>
        <w:ind w:firstLine="0"/>
        <w:rPr>
          <w:b/>
        </w:rPr>
      </w:pPr>
      <w:r w:rsidRPr="00407000">
        <w:rPr>
          <w:b/>
        </w:rPr>
        <w:t>Opatření 1.5.3 Rozvoj a zajištění udržitelnosti měkké infrastruktury zabezpečující poradenství v problematice inovací a kreativity</w:t>
      </w:r>
    </w:p>
    <w:p w:rsidR="00F84F32" w:rsidRPr="00407000" w:rsidRDefault="00F84F32" w:rsidP="00407000">
      <w:pPr>
        <w:ind w:firstLine="0"/>
        <w:rPr>
          <w:b/>
        </w:rPr>
      </w:pPr>
    </w:p>
    <w:p w:rsidR="00F84F32" w:rsidRPr="00407000" w:rsidRDefault="00F84F32" w:rsidP="00407000">
      <w:pPr>
        <w:ind w:firstLine="0"/>
        <w:rPr>
          <w:u w:val="single"/>
        </w:rPr>
      </w:pPr>
      <w:r w:rsidRPr="00407000">
        <w:rPr>
          <w:u w:val="single"/>
        </w:rPr>
        <w:t>Stav opatření:</w:t>
      </w:r>
    </w:p>
    <w:p w:rsidR="00F84F32" w:rsidRDefault="00F84F32" w:rsidP="00412D89">
      <w:r w:rsidRPr="00407000">
        <w:t>Opatření nebylo v roce 20</w:t>
      </w:r>
      <w:r>
        <w:t>20</w:t>
      </w:r>
      <w:r w:rsidRPr="00407000">
        <w:t xml:space="preserve"> naplňováno.</w:t>
      </w:r>
    </w:p>
    <w:p w:rsidR="00F84F32" w:rsidRDefault="00F84F32" w:rsidP="00412D89"/>
    <w:p w:rsidR="00F84F32" w:rsidRPr="00407000" w:rsidRDefault="00F84F32" w:rsidP="00407000">
      <w:pPr>
        <w:ind w:firstLine="0"/>
        <w:rPr>
          <w:b/>
        </w:rPr>
      </w:pPr>
      <w:r w:rsidRPr="00407000">
        <w:rPr>
          <w:b/>
        </w:rPr>
        <w:t>Opatření 1.5.4 Podpora vzniku start-up firem zaměřených na kreativní a znalostní obory</w:t>
      </w:r>
    </w:p>
    <w:p w:rsidR="00F84F32" w:rsidRPr="00453339" w:rsidRDefault="00F84F32" w:rsidP="00453339">
      <w:pPr>
        <w:ind w:firstLine="0"/>
        <w:rPr>
          <w:u w:val="single"/>
        </w:rPr>
      </w:pPr>
      <w:r w:rsidRPr="00407000">
        <w:rPr>
          <w:u w:val="single"/>
        </w:rPr>
        <w:t>Stav opatření:</w:t>
      </w:r>
    </w:p>
    <w:p w:rsidR="00F84F32" w:rsidRPr="00167411" w:rsidRDefault="00F84F32" w:rsidP="00B34CB8">
      <w:r w:rsidRPr="00167411">
        <w:t>V roce 2020 byly realizovány aktivity na podporu podnikavosti a startup scény. Tradičně proběhl Business Ples se Startup klubem – netradiční networkingová platforma propojující startupy s investory a byznysovými osobnostmi za podpory Ministerstva průmyslu a obchodu ČR, CzechInvestu, Vědeckotechnického parku Univerzity Palackého v Olomouci, Okresní hospodářské komory a dalších institucionálních partnerů. Hlavním bodem programu Startup klubu byla soutěž startupů, které byly vybrány v rámci castingu na UP Business Campu 2020. Startup klub se současně institucionalizoval (</w:t>
      </w:r>
      <w:hyperlink r:id="rId17" w:history="1">
        <w:r w:rsidRPr="00167411">
          <w:t>https://startupklub.cz/</w:t>
        </w:r>
      </w:hyperlink>
      <w:r w:rsidRPr="00167411">
        <w:t xml:space="preserve">). </w:t>
      </w:r>
    </w:p>
    <w:p w:rsidR="00F84F32" w:rsidRPr="00167411" w:rsidRDefault="00F84F32" w:rsidP="00B34CB8">
      <w:r w:rsidRPr="00167411">
        <w:t xml:space="preserve">Uskutečnil se UP Business Camp i soutěž Podnikavá hlava. Své aktivity zintenzivnilo také Inovační centrum Olomouckého kraje (projekt Smart akcelerátor), nadále byla velmi aktivní Agentura pro podporu podnikání a investic CzechInvest. Ta propojuje tuzemské i zahraniční investory s českými start-upy. Regionální kancelář pro Olomoucký kraj poskytuje prvotní informace o tomto programu a pomáhá start-upům najít vhodné investory. Je potřeba zmínit také aktivity Moravské vysoké školy Olomouc a vznikajícího Krajského centra podpory podnikavosti (projekt IKAP II). </w:t>
      </w:r>
    </w:p>
    <w:p w:rsidR="00F84F32" w:rsidRPr="00407000" w:rsidRDefault="00F84F32" w:rsidP="00407000"/>
    <w:p w:rsidR="00F84F32" w:rsidRPr="00407000" w:rsidRDefault="00F84F32" w:rsidP="00407000">
      <w:pPr>
        <w:ind w:firstLine="0"/>
        <w:rPr>
          <w:b/>
        </w:rPr>
      </w:pPr>
      <w:r w:rsidRPr="00407000">
        <w:rPr>
          <w:b/>
        </w:rPr>
        <w:t>Opatření 1.5.5 Posilování marketingového přístupu k KKP a inovacím</w:t>
      </w:r>
    </w:p>
    <w:p w:rsidR="00F84F32" w:rsidRPr="00407000" w:rsidRDefault="00F84F32" w:rsidP="00407000">
      <w:pPr>
        <w:ind w:firstLine="0"/>
        <w:rPr>
          <w:u w:val="single"/>
        </w:rPr>
      </w:pPr>
      <w:r w:rsidRPr="00407000">
        <w:rPr>
          <w:u w:val="single"/>
        </w:rPr>
        <w:t>Stav opatření:</w:t>
      </w:r>
    </w:p>
    <w:p w:rsidR="00F84F32" w:rsidRPr="00407000" w:rsidRDefault="00F84F32" w:rsidP="00407000">
      <w:r w:rsidRPr="00407000">
        <w:t xml:space="preserve">Posilování marketingového přístupu k KKP a inovacím se děje zejména prostřednictvím osvětových a propagačních aktivit ohledně tohoto odvětví. Jedná se o vzdělávací filmový festival Academia Film Olomouc (AFO), Flerjarmark, nebo Dizajntrh, který kromě možnosti </w:t>
      </w:r>
      <w:r w:rsidRPr="00407000">
        <w:lastRenderedPageBreak/>
        <w:t>nákupu zboží od českých a slovenských designerů nabízí pestrý program formou workshopů a přednášek. Prostřednictvím celoročního programu kulturních a společenských událostí dává Univerzita Palackého velký prostor k realizaci lokálním zástupcům kulturní sféry (busking v ulicích v rámci iniciativy Zaparkuj, performance a happeningy v rámci kulturních akcí – Zaparkuj, Majáles, Noc vědců, slavnostní ak</w:t>
      </w:r>
      <w:r>
        <w:t>ce</w:t>
      </w:r>
      <w:r w:rsidRPr="00407000">
        <w:t>, plesy</w:t>
      </w:r>
      <w:r>
        <w:t>,</w:t>
      </w:r>
      <w:r w:rsidRPr="00407000">
        <w:t xml:space="preserve"> apod.) </w:t>
      </w:r>
    </w:p>
    <w:p w:rsidR="00F84F32" w:rsidRPr="00407000" w:rsidRDefault="00F84F32" w:rsidP="00407000">
      <w:r>
        <w:t xml:space="preserve">V roce 2020 probíhaly práce na veřejně dostupné databázi subjektů Kreativní Olomouc, která je dostupná na webových stránkách </w:t>
      </w:r>
      <w:r w:rsidRPr="00092E9F">
        <w:t>https://databaze.kreativniolomouc.cz/</w:t>
      </w:r>
      <w:r>
        <w:t xml:space="preserve">. </w:t>
      </w:r>
      <w:r w:rsidRPr="00407000">
        <w:t>Hlavním cílem databáze je centrálně evidovat všechny subjekty zapojené do KKP na Olomoucku pro potřeby odborné veřejnosti, samosprávy, ale</w:t>
      </w:r>
      <w:r>
        <w:t> </w:t>
      </w:r>
      <w:r w:rsidRPr="00407000">
        <w:t>i</w:t>
      </w:r>
      <w:r>
        <w:t> </w:t>
      </w:r>
      <w:r w:rsidRPr="00407000">
        <w:t>široké veřejnosti poptávající produkty a služby kulturního a kreativního sektoru za</w:t>
      </w:r>
      <w:r>
        <w:t> </w:t>
      </w:r>
      <w:r w:rsidRPr="00407000">
        <w:t>účelem posílení povědomí o lokálním kreativním zázemí a</w:t>
      </w:r>
      <w:r>
        <w:t> </w:t>
      </w:r>
      <w:r w:rsidRPr="00407000">
        <w:t>prohloubení praktických kontaktů napříč sférou. Mimo jiné databáze podp</w:t>
      </w:r>
      <w:r>
        <w:t>oruje</w:t>
      </w:r>
      <w:r w:rsidRPr="00407000">
        <w:t xml:space="preserve"> zjednodušení případného oslovení, navázání spolupráce</w:t>
      </w:r>
      <w:r>
        <w:t xml:space="preserve"> </w:t>
      </w:r>
      <w:r w:rsidRPr="00407000">
        <w:t>a zvýšení konkurenceschopnosti jednotlivých oblastí KKP na</w:t>
      </w:r>
      <w:r>
        <w:t> </w:t>
      </w:r>
      <w:r w:rsidRPr="00407000">
        <w:t>Olomoucku.</w:t>
      </w:r>
    </w:p>
    <w:p w:rsidR="00F84F32" w:rsidRDefault="00F84F32" w:rsidP="002209A7">
      <w:r w:rsidRPr="00407000">
        <w:t>V</w:t>
      </w:r>
      <w:r>
        <w:t xml:space="preserve"> roce </w:t>
      </w:r>
      <w:r w:rsidRPr="00407000">
        <w:t>20</w:t>
      </w:r>
      <w:r>
        <w:t>20</w:t>
      </w:r>
      <w:r w:rsidRPr="00407000">
        <w:t xml:space="preserve"> </w:t>
      </w:r>
      <w:r>
        <w:t xml:space="preserve">Univerzita Palackého spustila edici katalogů DESIGN s podtitulem Kreativní Olomouc, </w:t>
      </w:r>
      <w:r w:rsidRPr="007A3C1F">
        <w:t>jejímž</w:t>
      </w:r>
      <w:r w:rsidRPr="00092E9F">
        <w:t xml:space="preserve"> prostřednictvím hodlá adekvátně propagovat elitní aktéry kreativních odvětví působící v Olomouckém kraji.</w:t>
      </w:r>
      <w:r w:rsidRPr="00407000">
        <w:t xml:space="preserve"> </w:t>
      </w:r>
      <w:r>
        <w:t>OHK mimo jiné za podpory dotace od SMOl aktivně propagovala tento katalog.</w:t>
      </w:r>
    </w:p>
    <w:p w:rsidR="00F84F32" w:rsidRDefault="00F84F32" w:rsidP="00CE1B6C">
      <w:pPr>
        <w:ind w:firstLine="0"/>
      </w:pPr>
    </w:p>
    <w:p w:rsidR="00F84F32" w:rsidRPr="00407000" w:rsidRDefault="00F84F32" w:rsidP="00CE1B6C">
      <w:pPr>
        <w:ind w:firstLine="0"/>
      </w:pPr>
    </w:p>
    <w:p w:rsidR="00F84F32" w:rsidRDefault="00F84F32" w:rsidP="00A21A80">
      <w:pPr>
        <w:pStyle w:val="Nadpis1"/>
        <w:keepNext/>
        <w:widowControl/>
        <w:numPr>
          <w:ilvl w:val="0"/>
          <w:numId w:val="18"/>
        </w:numPr>
        <w:shd w:val="clear" w:color="000000" w:fill="F77D32"/>
        <w:tabs>
          <w:tab w:val="clear" w:pos="720"/>
        </w:tabs>
        <w:jc w:val="left"/>
        <w:rPr>
          <w:sz w:val="28"/>
        </w:rPr>
      </w:pPr>
      <w:bookmarkStart w:id="14" w:name="_Toc15637085"/>
      <w:bookmarkStart w:id="15" w:name="_Toc45699131"/>
      <w:r w:rsidRPr="00407000">
        <w:rPr>
          <w:sz w:val="28"/>
        </w:rPr>
        <w:t>Pilíř 2: Olomouc – perla Evropy</w:t>
      </w:r>
      <w:bookmarkEnd w:id="14"/>
      <w:bookmarkEnd w:id="15"/>
    </w:p>
    <w:p w:rsidR="00F84F32" w:rsidRPr="00407000" w:rsidRDefault="00F84F32" w:rsidP="00407000"/>
    <w:p w:rsidR="00F84F32" w:rsidRPr="00407000" w:rsidRDefault="00F84F32" w:rsidP="00407000"/>
    <w:p w:rsidR="00F84F32" w:rsidRPr="00407000" w:rsidRDefault="00F84F32" w:rsidP="00407000">
      <w:pPr>
        <w:shd w:val="clear" w:color="auto" w:fill="FDE9D9"/>
        <w:ind w:firstLine="0"/>
        <w:rPr>
          <w:b/>
        </w:rPr>
      </w:pPr>
      <w:r w:rsidRPr="00407000">
        <w:rPr>
          <w:b/>
        </w:rPr>
        <w:t>Cíl 2.1 Posílit jednotnou komunikační kampaň Olomouce jako turistického cíle a spolupráci aktérů cestovního ruchu</w:t>
      </w:r>
    </w:p>
    <w:p w:rsidR="00F84F32" w:rsidRPr="00407000" w:rsidRDefault="00F84F32" w:rsidP="00407000"/>
    <w:tbl>
      <w:tblPr>
        <w:tblW w:w="95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93"/>
        <w:gridCol w:w="1620"/>
        <w:gridCol w:w="1080"/>
        <w:gridCol w:w="1080"/>
        <w:gridCol w:w="1080"/>
        <w:gridCol w:w="900"/>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9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4860"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0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593"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62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0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2C447E">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2.1</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13.</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hostů v hromadných ubytovacích zařízeních </w:t>
            </w:r>
            <w:r>
              <w:rPr>
                <w:rStyle w:val="Znakapoznpodarou"/>
                <w:sz w:val="18"/>
                <w:szCs w:val="18"/>
              </w:rPr>
              <w:footnoteReference w:id="19"/>
            </w:r>
          </w:p>
        </w:tc>
        <w:tc>
          <w:tcPr>
            <w:tcW w:w="162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165 382</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210 000</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92 063</w:t>
            </w:r>
          </w:p>
        </w:tc>
        <w:tc>
          <w:tcPr>
            <w:tcW w:w="900" w:type="dxa"/>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2C447E">
        <w:tc>
          <w:tcPr>
            <w:tcW w:w="560" w:type="dxa"/>
            <w:vMerge/>
            <w:vAlign w:val="center"/>
          </w:tcPr>
          <w:p w:rsidR="00F84F32" w:rsidRPr="00407000" w:rsidRDefault="00F84F32" w:rsidP="00407000">
            <w:pPr>
              <w:widowControl/>
              <w:ind w:firstLine="0"/>
              <w:jc w:val="left"/>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14.</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přenocování v hromadných ubytovacích zařízeních </w:t>
            </w:r>
            <w:r>
              <w:rPr>
                <w:rStyle w:val="Znakapoznpodarou"/>
                <w:sz w:val="18"/>
                <w:szCs w:val="18"/>
              </w:rPr>
              <w:footnoteReference w:id="20"/>
            </w:r>
          </w:p>
        </w:tc>
        <w:tc>
          <w:tcPr>
            <w:tcW w:w="162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279 930</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340 000</w:t>
            </w:r>
          </w:p>
        </w:tc>
        <w:tc>
          <w:tcPr>
            <w:tcW w:w="1080" w:type="dxa"/>
            <w:vAlign w:val="center"/>
          </w:tcPr>
          <w:p w:rsidR="00F84F32" w:rsidRPr="00407000" w:rsidRDefault="00F84F32" w:rsidP="00407000">
            <w:pPr>
              <w:widowControl/>
              <w:ind w:firstLine="0"/>
              <w:jc w:val="center"/>
              <w:rPr>
                <w:rFonts w:eastAsia="MS Mincho"/>
                <w:spacing w:val="4"/>
                <w:sz w:val="18"/>
                <w:szCs w:val="18"/>
                <w:highlight w:val="yellow"/>
                <w:lang w:eastAsia="en-US"/>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rFonts w:eastAsia="MS Mincho"/>
                <w:spacing w:val="4"/>
                <w:sz w:val="18"/>
                <w:szCs w:val="18"/>
                <w:highlight w:val="yellow"/>
                <w:lang w:eastAsia="en-US"/>
              </w:rPr>
            </w:pPr>
            <w:r>
              <w:rPr>
                <w:rFonts w:eastAsia="MS Mincho"/>
                <w:spacing w:val="4"/>
                <w:sz w:val="18"/>
                <w:szCs w:val="18"/>
                <w:lang w:eastAsia="en-US"/>
              </w:rPr>
              <w:t>168 386</w:t>
            </w:r>
          </w:p>
        </w:tc>
        <w:tc>
          <w:tcPr>
            <w:tcW w:w="900" w:type="dxa"/>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E522C0">
        <w:tc>
          <w:tcPr>
            <w:tcW w:w="560" w:type="dxa"/>
            <w:vMerge/>
            <w:tcBorders>
              <w:bottom w:val="single" w:sz="12" w:space="0" w:color="000000"/>
            </w:tcBorders>
            <w:vAlign w:val="center"/>
          </w:tcPr>
          <w:p w:rsidR="00F84F32" w:rsidRPr="00407000" w:rsidRDefault="00F84F32" w:rsidP="00407000">
            <w:pPr>
              <w:widowControl/>
              <w:ind w:firstLine="0"/>
              <w:jc w:val="left"/>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15.</w:t>
            </w:r>
          </w:p>
        </w:tc>
        <w:tc>
          <w:tcPr>
            <w:tcW w:w="2593"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 xml:space="preserve">Počet </w:t>
            </w:r>
            <w:r w:rsidRPr="003C665A">
              <w:rPr>
                <w:sz w:val="18"/>
                <w:szCs w:val="18"/>
              </w:rPr>
              <w:t>akcí v kalendáři na</w:t>
            </w:r>
            <w:r>
              <w:rPr>
                <w:sz w:val="18"/>
                <w:szCs w:val="18"/>
              </w:rPr>
              <w:t> </w:t>
            </w:r>
            <w:r w:rsidRPr="003C665A">
              <w:rPr>
                <w:sz w:val="18"/>
                <w:szCs w:val="18"/>
              </w:rPr>
              <w:t>webových stránkách města</w:t>
            </w:r>
            <w:r>
              <w:rPr>
                <w:rStyle w:val="Znakapoznpodarou"/>
                <w:sz w:val="18"/>
                <w:szCs w:val="18"/>
              </w:rPr>
              <w:footnoteReference w:id="21"/>
            </w:r>
            <w:r w:rsidRPr="00407000">
              <w:rPr>
                <w:sz w:val="18"/>
                <w:szCs w:val="18"/>
              </w:rPr>
              <w:t xml:space="preserve"> </w:t>
            </w:r>
          </w:p>
        </w:tc>
        <w:tc>
          <w:tcPr>
            <w:tcW w:w="162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1 608</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2 500</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4 480</w:t>
            </w:r>
          </w:p>
        </w:tc>
        <w:tc>
          <w:tcPr>
            <w:tcW w:w="900" w:type="dxa"/>
            <w:tcBorders>
              <w:bottom w:val="single" w:sz="12" w:space="0" w:color="000000"/>
            </w:tcBorders>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bl>
    <w:p w:rsidR="00F84F32" w:rsidRPr="00407000" w:rsidRDefault="00F84F32" w:rsidP="00407000"/>
    <w:p w:rsidR="00F84F32" w:rsidRPr="00407000" w:rsidRDefault="00F84F32" w:rsidP="00407000">
      <w:r w:rsidRPr="00407000">
        <w:t>Naplňování cíle 2.1 je závislé na činnosti a aktivní spolupráci statutárního města Olomouce s dalšími partnery (Olomouckým krajem, sdružením Střední Morava - Sdružením cestovního ruchu, Českou centrálou cestovního ruchu - CzechTourismem, a dalšími subjekty), subjekty soukromého i veřejného sektoru.</w:t>
      </w:r>
    </w:p>
    <w:p w:rsidR="00F84F32" w:rsidRPr="00407000" w:rsidRDefault="00F84F32" w:rsidP="00407000"/>
    <w:p w:rsidR="00F84F32" w:rsidRPr="00407000" w:rsidRDefault="00F84F32" w:rsidP="00407000">
      <w:pPr>
        <w:ind w:firstLine="0"/>
        <w:rPr>
          <w:b/>
        </w:rPr>
      </w:pPr>
      <w:r w:rsidRPr="00407000">
        <w:rPr>
          <w:b/>
        </w:rPr>
        <w:t>Opatření 2.1.1 Budování značky města</w:t>
      </w:r>
    </w:p>
    <w:p w:rsidR="00F84F32" w:rsidRPr="00407000" w:rsidRDefault="00F84F32" w:rsidP="00407000">
      <w:pPr>
        <w:ind w:firstLine="0"/>
        <w:rPr>
          <w:u w:val="single"/>
        </w:rPr>
      </w:pPr>
      <w:r w:rsidRPr="00407000">
        <w:rPr>
          <w:u w:val="single"/>
        </w:rPr>
        <w:t>Stav opatření:</w:t>
      </w:r>
    </w:p>
    <w:p w:rsidR="00F84F32" w:rsidRDefault="00F84F32" w:rsidP="002C447E">
      <w:r w:rsidRPr="00972E8B">
        <w:t xml:space="preserve">Město </w:t>
      </w:r>
      <w:r w:rsidRPr="002C447E">
        <w:t>Olomouc se v roce 2020 prezentovalo v rámci kampaně Olomouc – to musíte zažít, vidět, ochutnat, slyšet, projet, milovat. Kampaň byl</w:t>
      </w:r>
      <w:r>
        <w:t>a</w:t>
      </w:r>
      <w:r w:rsidRPr="002C447E">
        <w:t xml:space="preserve"> zaměřena na domácí cestovní ruch </w:t>
      </w:r>
      <w:r w:rsidRPr="002C447E">
        <w:lastRenderedPageBreak/>
        <w:t xml:space="preserve">a částečně na klienty ze sousedních zemí, a to z důvodu omezených možností cestování v době </w:t>
      </w:r>
      <w:r>
        <w:t xml:space="preserve">pandemie Covid-19. </w:t>
      </w:r>
      <w:r w:rsidRPr="002C447E">
        <w:t>Kampaň probíhala v různých magazínech, novinách, na</w:t>
      </w:r>
      <w:r>
        <w:t> </w:t>
      </w:r>
      <w:r w:rsidRPr="002C447E">
        <w:t>billboardech a CLV v rámci ČR či na sociálních sítích.</w:t>
      </w:r>
      <w:r>
        <w:t xml:space="preserve"> </w:t>
      </w:r>
    </w:p>
    <w:p w:rsidR="00F84F32" w:rsidRPr="003C7322" w:rsidRDefault="00F84F32" w:rsidP="00407000">
      <w:pPr>
        <w:ind w:firstLine="0"/>
      </w:pPr>
    </w:p>
    <w:p w:rsidR="00F84F32" w:rsidRPr="00407000" w:rsidRDefault="00F84F32" w:rsidP="00407000">
      <w:pPr>
        <w:ind w:firstLine="0"/>
        <w:rPr>
          <w:b/>
          <w:color w:val="000000"/>
        </w:rPr>
      </w:pPr>
      <w:r w:rsidRPr="00407000">
        <w:rPr>
          <w:b/>
          <w:color w:val="000000"/>
        </w:rPr>
        <w:t>Opatření 2.1.2 Spolupráce s aktéry cestovního ruchu za účelem koordinace a provázanosti aktivit a podpory stěžejních akcí</w:t>
      </w:r>
    </w:p>
    <w:p w:rsidR="00F84F32" w:rsidRPr="00407000" w:rsidRDefault="00F84F32" w:rsidP="00407000">
      <w:pPr>
        <w:ind w:firstLine="0"/>
        <w:rPr>
          <w:color w:val="000000"/>
          <w:u w:val="single"/>
        </w:rPr>
      </w:pPr>
      <w:r w:rsidRPr="00407000">
        <w:rPr>
          <w:color w:val="000000"/>
          <w:u w:val="single"/>
        </w:rPr>
        <w:t>Stav opatření:</w:t>
      </w:r>
    </w:p>
    <w:p w:rsidR="00F84F32" w:rsidRDefault="00F84F32" w:rsidP="002A432E">
      <w:pPr>
        <w:rPr>
          <w:color w:val="000000"/>
        </w:rPr>
      </w:pPr>
      <w:r w:rsidRPr="002C447E">
        <w:t>Město Olomouc i pro rok 2020 připravilo kalendář akcí 2020, který se ale nakonec k propagaci nevyužil</w:t>
      </w:r>
      <w:r>
        <w:t>, a</w:t>
      </w:r>
      <w:r w:rsidRPr="002C447E">
        <w:t xml:space="preserve"> to z  důvodu problémů souvisejících s</w:t>
      </w:r>
      <w:r>
        <w:t> pandemií Covid-19</w:t>
      </w:r>
      <w:r w:rsidRPr="002C447E">
        <w:t>. Na letní sezónu byl při</w:t>
      </w:r>
      <w:r w:rsidRPr="00972E8B">
        <w:t xml:space="preserve">praven nový kulturní kalendář. </w:t>
      </w:r>
      <w:r w:rsidRPr="002C447E">
        <w:t>Ten byl následně propagován prostřednictvím sociálních sítí, Informačního centra Olomouc či ve spolupráci s mě</w:t>
      </w:r>
      <w:r>
        <w:t>stem</w:t>
      </w:r>
      <w:r w:rsidRPr="00972E8B">
        <w:t xml:space="preserve"> Kroměříž či Střední Moravou</w:t>
      </w:r>
      <w:r>
        <w:t xml:space="preserve"> -</w:t>
      </w:r>
      <w:r w:rsidRPr="002C447E">
        <w:t xml:space="preserve"> sdružením cestovního ruchu</w:t>
      </w:r>
      <w:r>
        <w:t>.</w:t>
      </w:r>
    </w:p>
    <w:p w:rsidR="00F84F32" w:rsidRPr="00407000" w:rsidRDefault="00F84F32" w:rsidP="002A432E">
      <w:pPr>
        <w:rPr>
          <w:color w:val="000000"/>
        </w:rPr>
      </w:pPr>
    </w:p>
    <w:p w:rsidR="00F84F32" w:rsidRPr="00407000" w:rsidRDefault="00F84F32" w:rsidP="00407000">
      <w:pPr>
        <w:ind w:firstLine="0"/>
        <w:rPr>
          <w:b/>
          <w:color w:val="000000"/>
        </w:rPr>
      </w:pPr>
      <w:r w:rsidRPr="00407000">
        <w:rPr>
          <w:b/>
          <w:color w:val="000000"/>
        </w:rPr>
        <w:t>Opatření 2.1.3 Využití smart technologií pro rozvoj cestovního ruchu</w:t>
      </w:r>
    </w:p>
    <w:p w:rsidR="00F84F32" w:rsidRPr="00407000" w:rsidRDefault="00F84F32" w:rsidP="00407000">
      <w:pPr>
        <w:ind w:firstLine="0"/>
        <w:rPr>
          <w:color w:val="000000"/>
          <w:u w:val="single"/>
        </w:rPr>
      </w:pPr>
      <w:r w:rsidRPr="00407000">
        <w:rPr>
          <w:color w:val="000000"/>
          <w:u w:val="single"/>
        </w:rPr>
        <w:t>Stav opatření:</w:t>
      </w:r>
    </w:p>
    <w:p w:rsidR="00F84F32" w:rsidRDefault="00F84F32" w:rsidP="00AD01FB">
      <w:r w:rsidRPr="00AA5021">
        <w:t>Město Olomouc v roce</w:t>
      </w:r>
      <w:r w:rsidRPr="002C447E">
        <w:t xml:space="preserve"> 2020 využívalo v rámci propagace sociální sít</w:t>
      </w:r>
      <w:r>
        <w:t>ě</w:t>
      </w:r>
      <w:r w:rsidRPr="002C447E">
        <w:t xml:space="preserve">. </w:t>
      </w:r>
      <w:r w:rsidRPr="00AA5021">
        <w:t xml:space="preserve">Na </w:t>
      </w:r>
      <w:r>
        <w:t>I</w:t>
      </w:r>
      <w:r w:rsidRPr="00AA5021">
        <w:t>nstagramu promovalo Olomouc</w:t>
      </w:r>
      <w:r w:rsidRPr="002C447E">
        <w:t xml:space="preserve"> formou insta stories. Dále pak využívalo </w:t>
      </w:r>
      <w:r>
        <w:t>f</w:t>
      </w:r>
      <w:r w:rsidRPr="002C447E">
        <w:t>acebook</w:t>
      </w:r>
      <w:r>
        <w:t>ovské stránky</w:t>
      </w:r>
      <w:r w:rsidRPr="002C447E">
        <w:t xml:space="preserve"> Informačního centra, kter</w:t>
      </w:r>
      <w:r>
        <w:t>é</w:t>
      </w:r>
      <w:r w:rsidRPr="002C447E">
        <w:t xml:space="preserve"> byl</w:t>
      </w:r>
      <w:r>
        <w:t>y</w:t>
      </w:r>
      <w:r w:rsidRPr="002C447E">
        <w:t xml:space="preserve"> přejmenován</w:t>
      </w:r>
      <w:r>
        <w:t>y</w:t>
      </w:r>
      <w:r w:rsidRPr="002C447E">
        <w:t xml:space="preserve"> na Olomouc Tourism. I v tomto roce byla spravována mobilní aplikace Sportuj v Olomouci, která informuje o výsledcích sportovních soutěží či </w:t>
      </w:r>
      <w:r>
        <w:t xml:space="preserve">aktivitách </w:t>
      </w:r>
      <w:r w:rsidRPr="002C447E">
        <w:t>sportovních klubů.</w:t>
      </w:r>
      <w:r>
        <w:t xml:space="preserve"> </w:t>
      </w:r>
    </w:p>
    <w:p w:rsidR="00F84F32" w:rsidRPr="003C7322" w:rsidRDefault="00F84F32" w:rsidP="00407000">
      <w:pPr>
        <w:rPr>
          <w:color w:val="000000"/>
        </w:rPr>
      </w:pPr>
    </w:p>
    <w:p w:rsidR="00F84F32" w:rsidRPr="00407000" w:rsidRDefault="00F84F32" w:rsidP="00407000">
      <w:pPr>
        <w:ind w:firstLine="0"/>
        <w:rPr>
          <w:b/>
          <w:color w:val="000000"/>
        </w:rPr>
      </w:pPr>
      <w:r w:rsidRPr="00407000">
        <w:rPr>
          <w:b/>
          <w:color w:val="000000"/>
        </w:rPr>
        <w:t>Opatření 2.1.4 Zlepšení navigačního systému a případné rozmístění infocenter a infokiosků ve městě</w:t>
      </w:r>
    </w:p>
    <w:p w:rsidR="00F84F32" w:rsidRPr="00407000" w:rsidRDefault="00F84F32" w:rsidP="00407000">
      <w:pPr>
        <w:ind w:firstLine="0"/>
        <w:rPr>
          <w:color w:val="000000"/>
          <w:u w:val="single"/>
        </w:rPr>
      </w:pPr>
      <w:r w:rsidRPr="00407000">
        <w:rPr>
          <w:color w:val="000000"/>
          <w:u w:val="single"/>
        </w:rPr>
        <w:t>Stav opatření:</w:t>
      </w:r>
    </w:p>
    <w:p w:rsidR="00F84F32" w:rsidRDefault="00F84F32" w:rsidP="00AD01FB">
      <w:pPr>
        <w:rPr>
          <w:kern w:val="24"/>
        </w:rPr>
      </w:pPr>
      <w:r w:rsidRPr="002C447E">
        <w:rPr>
          <w:kern w:val="24"/>
        </w:rPr>
        <w:t>Město Olomouc v roce 2020 spolupracoval</w:t>
      </w:r>
      <w:r>
        <w:rPr>
          <w:kern w:val="24"/>
        </w:rPr>
        <w:t>o</w:t>
      </w:r>
      <w:r w:rsidRPr="002C447E">
        <w:rPr>
          <w:kern w:val="24"/>
        </w:rPr>
        <w:t xml:space="preserve"> při provozování I</w:t>
      </w:r>
      <w:r>
        <w:rPr>
          <w:kern w:val="24"/>
        </w:rPr>
        <w:t xml:space="preserve">nformačního centra </w:t>
      </w:r>
      <w:r w:rsidRPr="002C447E">
        <w:rPr>
          <w:kern w:val="24"/>
        </w:rPr>
        <w:t>v Arcibiskupském paláci. K otevření další pobočky IC na Sv. Kopečku či na jiných místech nedošlo, a to z důvodu problémové situace související s</w:t>
      </w:r>
      <w:r>
        <w:rPr>
          <w:kern w:val="24"/>
        </w:rPr>
        <w:t> Covid-19</w:t>
      </w:r>
      <w:r w:rsidRPr="002C447E">
        <w:rPr>
          <w:kern w:val="24"/>
        </w:rPr>
        <w:t>.</w:t>
      </w:r>
      <w:r>
        <w:rPr>
          <w:kern w:val="24"/>
        </w:rPr>
        <w:t xml:space="preserve"> </w:t>
      </w:r>
    </w:p>
    <w:p w:rsidR="00F84F32" w:rsidRDefault="00F84F32" w:rsidP="00407000">
      <w:pPr>
        <w:rPr>
          <w:kern w:val="24"/>
        </w:rPr>
      </w:pPr>
    </w:p>
    <w:p w:rsidR="00F84F32" w:rsidRPr="00407000" w:rsidRDefault="00F84F32" w:rsidP="00407000">
      <w:pPr>
        <w:rPr>
          <w:kern w:val="24"/>
        </w:rPr>
      </w:pPr>
    </w:p>
    <w:p w:rsidR="00F84F32" w:rsidRPr="00407000" w:rsidRDefault="00F84F32" w:rsidP="00407000">
      <w:pPr>
        <w:shd w:val="clear" w:color="auto" w:fill="FDE9D9"/>
        <w:ind w:firstLine="0"/>
        <w:textAlignment w:val="baseline"/>
        <w:rPr>
          <w:b/>
          <w:kern w:val="24"/>
        </w:rPr>
      </w:pPr>
      <w:r w:rsidRPr="00407000">
        <w:rPr>
          <w:b/>
          <w:bCs/>
          <w:kern w:val="24"/>
        </w:rPr>
        <w:t>Cíl 2.2 Zvýšit atraktivitu nabídky kvalitních služeb pro cestovní ruch, kulturu, volný čas a sport</w:t>
      </w:r>
      <w:r w:rsidRPr="00407000">
        <w:rPr>
          <w:b/>
          <w:kern w:val="24"/>
        </w:rPr>
        <w:t xml:space="preserve"> </w:t>
      </w:r>
    </w:p>
    <w:p w:rsidR="00F84F32" w:rsidRPr="00407000" w:rsidRDefault="00F84F32" w:rsidP="00407000"/>
    <w:tbl>
      <w:tblPr>
        <w:tblW w:w="9640"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055"/>
        <w:gridCol w:w="1080"/>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0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018"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50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055"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A33795">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2.2</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16.</w:t>
            </w:r>
          </w:p>
        </w:tc>
        <w:tc>
          <w:tcPr>
            <w:tcW w:w="2507" w:type="dxa"/>
            <w:vAlign w:val="center"/>
          </w:tcPr>
          <w:p w:rsidR="00F84F32" w:rsidRPr="00407000" w:rsidRDefault="00F84F32" w:rsidP="00407000">
            <w:pPr>
              <w:ind w:firstLine="0"/>
              <w:jc w:val="left"/>
              <w:rPr>
                <w:sz w:val="18"/>
                <w:szCs w:val="18"/>
              </w:rPr>
            </w:pPr>
            <w:r w:rsidRPr="00407000">
              <w:rPr>
                <w:sz w:val="18"/>
                <w:szCs w:val="18"/>
              </w:rPr>
              <w:t>Zpracování Koncepce rozvoje a podpory kultury a sportu města Olomouce (A/N)</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055"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w:t>
            </w:r>
          </w:p>
        </w:tc>
        <w:tc>
          <w:tcPr>
            <w:tcW w:w="928" w:type="dxa"/>
            <w:shd w:val="clear" w:color="auto" w:fill="FFC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B"/>
            </w:r>
          </w:p>
        </w:tc>
      </w:tr>
      <w:tr w:rsidR="00F84F32" w:rsidRPr="00407000" w:rsidTr="002C447E">
        <w:tc>
          <w:tcPr>
            <w:tcW w:w="560" w:type="dxa"/>
            <w:vMerge/>
            <w:tcBorders>
              <w:bottom w:val="single" w:sz="12" w:space="0" w:color="000000"/>
            </w:tcBorders>
            <w:vAlign w:val="center"/>
          </w:tcPr>
          <w:p w:rsidR="00F84F32" w:rsidRPr="00407000" w:rsidRDefault="00F84F32" w:rsidP="00407000">
            <w:pPr>
              <w:widowControl/>
              <w:ind w:firstLine="0"/>
              <w:jc w:val="left"/>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17.</w:t>
            </w:r>
          </w:p>
        </w:tc>
        <w:tc>
          <w:tcPr>
            <w:tcW w:w="2507"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 xml:space="preserve">Počet návštěvníků vybraných zařízení cestovního ruchu, kultury a sportu </w:t>
            </w:r>
            <w:r>
              <w:rPr>
                <w:rStyle w:val="Znakapoznpodarou"/>
                <w:sz w:val="18"/>
                <w:szCs w:val="18"/>
              </w:rPr>
              <w:footnoteReference w:id="22"/>
            </w:r>
          </w:p>
        </w:tc>
        <w:tc>
          <w:tcPr>
            <w:tcW w:w="1706"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1 152 049</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1 335 000</w:t>
            </w:r>
          </w:p>
        </w:tc>
        <w:tc>
          <w:tcPr>
            <w:tcW w:w="1055"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w:t>
            </w:r>
            <w:r>
              <w:rPr>
                <w:rFonts w:eastAsia="MS Mincho"/>
                <w:spacing w:val="4"/>
                <w:sz w:val="18"/>
                <w:szCs w:val="18"/>
                <w:lang w:eastAsia="en-US"/>
              </w:rPr>
              <w:t> 061 828</w:t>
            </w:r>
          </w:p>
        </w:tc>
        <w:tc>
          <w:tcPr>
            <w:tcW w:w="928" w:type="dxa"/>
            <w:tcBorders>
              <w:bottom w:val="single" w:sz="12" w:space="0" w:color="000000"/>
            </w:tcBorders>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bl>
    <w:p w:rsidR="00F84F32" w:rsidRPr="00407000" w:rsidRDefault="00F84F32" w:rsidP="00407000"/>
    <w:p w:rsidR="00F84F32" w:rsidRPr="00407000" w:rsidRDefault="00F84F32" w:rsidP="00407000">
      <w:pPr>
        <w:ind w:firstLine="0"/>
        <w:textAlignment w:val="baseline"/>
        <w:rPr>
          <w:b/>
          <w:kern w:val="24"/>
        </w:rPr>
      </w:pPr>
      <w:r w:rsidRPr="00407000">
        <w:rPr>
          <w:b/>
        </w:rPr>
        <w:t>Opatření</w:t>
      </w:r>
      <w:r w:rsidRPr="00407000">
        <w:rPr>
          <w:b/>
          <w:kern w:val="24"/>
        </w:rPr>
        <w:t xml:space="preserve"> 2.2.1 Podpora rozvoje nových služeb v oblasti cestovního ruchu, kultury a sportu </w:t>
      </w:r>
    </w:p>
    <w:p w:rsidR="00F84F32" w:rsidRPr="00407000" w:rsidRDefault="00F84F32" w:rsidP="00407000">
      <w:pPr>
        <w:ind w:firstLine="0"/>
        <w:rPr>
          <w:u w:val="single"/>
        </w:rPr>
      </w:pPr>
      <w:r w:rsidRPr="00407000">
        <w:rPr>
          <w:u w:val="single"/>
        </w:rPr>
        <w:t>Stav opatření:</w:t>
      </w:r>
    </w:p>
    <w:p w:rsidR="00F84F32" w:rsidRDefault="00F84F32" w:rsidP="00AD01FB">
      <w:r w:rsidRPr="002C447E">
        <w:t>V roce 2020 město Olomouc vyhlásilo dotační tituly podporující služby v oblasti cestovního ruchu, kul</w:t>
      </w:r>
      <w:r w:rsidRPr="005B4700">
        <w:t>tury a sportu.</w:t>
      </w:r>
      <w:r w:rsidRPr="002C447E">
        <w:t xml:space="preserve"> I přes podp</w:t>
      </w:r>
      <w:r w:rsidRPr="005B4700">
        <w:t>oru města nebylo mnoho projektů</w:t>
      </w:r>
      <w:r w:rsidRPr="002C447E">
        <w:t xml:space="preserve"> realizováno, </w:t>
      </w:r>
      <w:r w:rsidRPr="002C447E">
        <w:lastRenderedPageBreak/>
        <w:t>a to z</w:t>
      </w:r>
      <w:r>
        <w:t> </w:t>
      </w:r>
      <w:r w:rsidRPr="002C447E">
        <w:t>důvodu</w:t>
      </w:r>
      <w:r>
        <w:t xml:space="preserve"> pandemie Covid-19</w:t>
      </w:r>
      <w:r w:rsidRPr="002C447E">
        <w:t>. Novou nabídku služeb v oblasti cest</w:t>
      </w:r>
      <w:r>
        <w:t>ovního</w:t>
      </w:r>
      <w:r w:rsidRPr="002C447E">
        <w:t xml:space="preserve"> ruchu, kultury a sportu propagovalo město přes sociální sítě či webovou aplikac</w:t>
      </w:r>
      <w:r>
        <w:t>i</w:t>
      </w:r>
      <w:r w:rsidRPr="002C447E">
        <w:t xml:space="preserve"> města.</w:t>
      </w:r>
    </w:p>
    <w:p w:rsidR="00F84F32" w:rsidRDefault="00F84F32" w:rsidP="00407000">
      <w:pPr>
        <w:rPr>
          <w:color w:val="000000"/>
        </w:rPr>
      </w:pPr>
    </w:p>
    <w:p w:rsidR="00F84F32" w:rsidRPr="00407000" w:rsidRDefault="00F84F32" w:rsidP="00407000">
      <w:pPr>
        <w:pStyle w:val="Odstavecseseznamem"/>
        <w:tabs>
          <w:tab w:val="left" w:pos="-4140"/>
        </w:tabs>
        <w:ind w:left="0" w:firstLine="0"/>
        <w:textAlignment w:val="baseline"/>
        <w:rPr>
          <w:rFonts w:ascii="Times New Roman" w:hAnsi="Times New Roman"/>
          <w:b/>
          <w:kern w:val="24"/>
        </w:rPr>
      </w:pPr>
      <w:r w:rsidRPr="00407000">
        <w:rPr>
          <w:rFonts w:ascii="Times New Roman" w:hAnsi="Times New Roman"/>
          <w:b/>
          <w:kern w:val="24"/>
        </w:rPr>
        <w:t xml:space="preserve">Opatření 2.2.2 Podpora vzniku nových či rozvoje stávajících eventů v oblasti kultury a sportu na národní a mezinárodní úrovni </w:t>
      </w:r>
    </w:p>
    <w:p w:rsidR="00F84F32" w:rsidRPr="00407000" w:rsidRDefault="00F84F32" w:rsidP="00407000">
      <w:pPr>
        <w:ind w:firstLine="0"/>
        <w:rPr>
          <w:color w:val="000000"/>
          <w:u w:val="single"/>
        </w:rPr>
      </w:pPr>
      <w:r w:rsidRPr="00407000">
        <w:rPr>
          <w:color w:val="000000"/>
          <w:u w:val="single"/>
        </w:rPr>
        <w:t>Stav opatření:</w:t>
      </w:r>
    </w:p>
    <w:p w:rsidR="00F84F32" w:rsidRDefault="00F84F32" w:rsidP="00AD01FB">
      <w:r w:rsidRPr="002C447E">
        <w:t>Město Olomouc v roce 2020 podpořilo nový event divadla Tramtarie, které uvedlo pásmo divadelních vystoupení Divadelní červen open-air 2020 na Korunní pevnůstce v</w:t>
      </w:r>
      <w:r>
        <w:t> </w:t>
      </w:r>
      <w:r w:rsidRPr="002C447E">
        <w:t xml:space="preserve">měsíci červnu 2020. </w:t>
      </w:r>
      <w:r>
        <w:t xml:space="preserve">Nově probíhal v pátky a soboty festival Pohoda u Trojice s multižánrovým programem, do kterého se zapojili místní umělci a spolky. </w:t>
      </w:r>
      <w:r w:rsidRPr="002C447E">
        <w:t>Další nové eventy nebyly rea</w:t>
      </w:r>
      <w:r>
        <w:t>lizovány z důvodu pandemie Covid</w:t>
      </w:r>
      <w:r w:rsidRPr="002C447E">
        <w:t>-19.</w:t>
      </w:r>
      <w:r>
        <w:t xml:space="preserve"> </w:t>
      </w:r>
    </w:p>
    <w:p w:rsidR="00F84F32" w:rsidRPr="003C7322" w:rsidRDefault="00F84F32" w:rsidP="00AD01FB">
      <w:pPr>
        <w:rPr>
          <w:color w:val="000000"/>
        </w:rPr>
      </w:pPr>
    </w:p>
    <w:p w:rsidR="00F84F32" w:rsidRPr="00407000" w:rsidRDefault="00F84F32" w:rsidP="00407000">
      <w:pPr>
        <w:pStyle w:val="Odstavecseseznamem"/>
        <w:tabs>
          <w:tab w:val="left" w:pos="626"/>
        </w:tabs>
        <w:ind w:left="626" w:hanging="647"/>
        <w:textAlignment w:val="baseline"/>
        <w:rPr>
          <w:rFonts w:ascii="Times New Roman" w:hAnsi="Times New Roman"/>
          <w:b/>
          <w:color w:val="000000"/>
          <w:kern w:val="24"/>
        </w:rPr>
      </w:pPr>
      <w:r w:rsidRPr="00407000">
        <w:rPr>
          <w:rFonts w:ascii="Times New Roman" w:hAnsi="Times New Roman"/>
          <w:b/>
          <w:color w:val="000000"/>
        </w:rPr>
        <w:t>Opatření</w:t>
      </w:r>
      <w:r w:rsidRPr="00407000">
        <w:rPr>
          <w:rFonts w:ascii="Times New Roman" w:hAnsi="Times New Roman"/>
          <w:b/>
          <w:color w:val="000000"/>
          <w:kern w:val="24"/>
        </w:rPr>
        <w:t xml:space="preserve"> 2.2.3 Zvýšení atraktivity nabídky a kvality služeb formou dotační podpory</w:t>
      </w:r>
    </w:p>
    <w:p w:rsidR="00F84F32" w:rsidRPr="00407000" w:rsidRDefault="00F84F32" w:rsidP="00407000">
      <w:pPr>
        <w:ind w:firstLine="0"/>
        <w:rPr>
          <w:color w:val="000000"/>
          <w:u w:val="single"/>
        </w:rPr>
      </w:pPr>
      <w:r w:rsidRPr="00407000">
        <w:rPr>
          <w:color w:val="000000"/>
          <w:u w:val="single"/>
        </w:rPr>
        <w:t>Stav opatření:</w:t>
      </w:r>
    </w:p>
    <w:p w:rsidR="00F84F32" w:rsidRPr="00ED1A46" w:rsidRDefault="00F84F32" w:rsidP="00AD01FB">
      <w:r w:rsidRPr="00F142CB">
        <w:t xml:space="preserve">V roce 2020 vyhlásilo město Olomouc dotační tituly podporující </w:t>
      </w:r>
      <w:r>
        <w:t>i nabídku služeb v oblasti cestovního</w:t>
      </w:r>
      <w:r w:rsidRPr="00F142CB">
        <w:t xml:space="preserve"> ruchu, kultury a sportu. Ne všechny byly z důvodu </w:t>
      </w:r>
      <w:r>
        <w:t>pandemie Covid-19</w:t>
      </w:r>
      <w:r w:rsidRPr="00F142CB">
        <w:t xml:space="preserve"> realizovány a některé dotace byly navráceny </w:t>
      </w:r>
      <w:r>
        <w:t>městu. Na dotace v oblasti cestovního</w:t>
      </w:r>
      <w:r w:rsidRPr="00F142CB">
        <w:t xml:space="preserve"> ruchu bylo pro rok 2020 vyčleněno</w:t>
      </w:r>
      <w:r>
        <w:t xml:space="preserve"> 1,4 mil. Kč, v oblasti sportu</w:t>
      </w:r>
      <w:r w:rsidRPr="00F142CB">
        <w:t xml:space="preserve"> </w:t>
      </w:r>
      <w:r>
        <w:t>21,1 mil.</w:t>
      </w:r>
      <w:r w:rsidRPr="00F142CB">
        <w:t xml:space="preserve"> Kč a </w:t>
      </w:r>
      <w:r>
        <w:t xml:space="preserve">na </w:t>
      </w:r>
      <w:r w:rsidRPr="00F142CB">
        <w:t>kultu</w:t>
      </w:r>
      <w:r>
        <w:t>ru</w:t>
      </w:r>
      <w:r w:rsidRPr="00F142CB">
        <w:t xml:space="preserve"> </w:t>
      </w:r>
      <w:r>
        <w:t>13,5 mil. Kč.</w:t>
      </w:r>
    </w:p>
    <w:p w:rsidR="00F84F32" w:rsidRPr="00407000" w:rsidRDefault="00F84F32" w:rsidP="00407000">
      <w:pPr>
        <w:rPr>
          <w:color w:val="000000"/>
        </w:rPr>
      </w:pPr>
    </w:p>
    <w:p w:rsidR="00F84F32" w:rsidRPr="00407000" w:rsidRDefault="00F84F32" w:rsidP="00407000">
      <w:pPr>
        <w:pStyle w:val="Odstavecseseznamem"/>
        <w:tabs>
          <w:tab w:val="left" w:pos="626"/>
        </w:tabs>
        <w:ind w:left="626" w:hanging="647"/>
        <w:textAlignment w:val="baseline"/>
        <w:rPr>
          <w:rFonts w:ascii="Times New Roman" w:hAnsi="Times New Roman"/>
          <w:b/>
          <w:color w:val="000000"/>
          <w:kern w:val="24"/>
        </w:rPr>
      </w:pPr>
      <w:r w:rsidRPr="00407000">
        <w:rPr>
          <w:rFonts w:ascii="Times New Roman" w:hAnsi="Times New Roman"/>
          <w:b/>
          <w:color w:val="000000"/>
        </w:rPr>
        <w:t>Opatření</w:t>
      </w:r>
      <w:r w:rsidRPr="00407000">
        <w:rPr>
          <w:rFonts w:ascii="Times New Roman" w:hAnsi="Times New Roman"/>
          <w:b/>
          <w:color w:val="000000"/>
          <w:kern w:val="24"/>
        </w:rPr>
        <w:t xml:space="preserve"> 2.2.4 Podpora inovativních návrhů v oblasti cestovního ruchu, kultury a sportu</w:t>
      </w:r>
    </w:p>
    <w:p w:rsidR="00F84F32" w:rsidRPr="00407000" w:rsidRDefault="00F84F32" w:rsidP="00407000">
      <w:pPr>
        <w:ind w:firstLine="0"/>
        <w:rPr>
          <w:color w:val="000000"/>
          <w:u w:val="single"/>
        </w:rPr>
      </w:pPr>
      <w:r w:rsidRPr="00407000">
        <w:rPr>
          <w:color w:val="000000"/>
          <w:u w:val="single"/>
        </w:rPr>
        <w:t>Stav opatření:</w:t>
      </w:r>
    </w:p>
    <w:p w:rsidR="00F84F32" w:rsidRDefault="00F84F32" w:rsidP="00AD01FB">
      <w:r w:rsidRPr="00D50DCC">
        <w:t>V roce 2020</w:t>
      </w:r>
      <w:r w:rsidRPr="002C447E">
        <w:t xml:space="preserve"> byla podpořena udržitelnost již vzniklých inovativních </w:t>
      </w:r>
      <w:r w:rsidRPr="00D50DCC">
        <w:t xml:space="preserve">návrhů, které jsou podporovány </w:t>
      </w:r>
      <w:r w:rsidRPr="002C447E">
        <w:t>v rámci kultury č</w:t>
      </w:r>
      <w:r>
        <w:t>i sportu. V tomto roce došlo</w:t>
      </w:r>
      <w:r w:rsidRPr="002C447E">
        <w:t xml:space="preserve"> k poklesu podporovaných akcí, z</w:t>
      </w:r>
      <w:r>
        <w:t> </w:t>
      </w:r>
      <w:r w:rsidRPr="002C447E">
        <w:t>důvodu</w:t>
      </w:r>
      <w:r>
        <w:t xml:space="preserve"> pandemie Covid-19</w:t>
      </w:r>
      <w:r w:rsidRPr="00D50DCC">
        <w:t>, protože se akce nekonaly.</w:t>
      </w:r>
      <w:r w:rsidRPr="002C447E">
        <w:t xml:space="preserve"> Realizovaly se akce p</w:t>
      </w:r>
      <w:r w:rsidRPr="00BC416E">
        <w:t>ouze v letním období, těmi byly</w:t>
      </w:r>
      <w:r w:rsidRPr="002C447E">
        <w:t xml:space="preserve"> Vinné slavnosti, Mezinárodní výstavy psů či Divadelní červen open air 2020.</w:t>
      </w:r>
    </w:p>
    <w:p w:rsidR="00F84F32" w:rsidRPr="003C7322" w:rsidRDefault="00F84F32" w:rsidP="00AD01FB">
      <w:pPr>
        <w:rPr>
          <w:color w:val="000000"/>
        </w:rPr>
      </w:pPr>
    </w:p>
    <w:p w:rsidR="00F84F32" w:rsidRPr="00407000" w:rsidRDefault="00F84F32" w:rsidP="00407000">
      <w:pPr>
        <w:ind w:firstLine="0"/>
        <w:rPr>
          <w:b/>
          <w:color w:val="000000"/>
          <w:kern w:val="24"/>
        </w:rPr>
      </w:pPr>
      <w:r w:rsidRPr="00407000">
        <w:rPr>
          <w:b/>
          <w:color w:val="000000"/>
        </w:rPr>
        <w:t>Opatření</w:t>
      </w:r>
      <w:r w:rsidRPr="00407000">
        <w:rPr>
          <w:b/>
          <w:color w:val="000000"/>
          <w:kern w:val="24"/>
        </w:rPr>
        <w:t xml:space="preserve"> 2.2.5 Nastavení a realizace koncepčního přístupu k rozvoji kultury, sportu a cestovního ruchu města Olomouce</w:t>
      </w:r>
    </w:p>
    <w:p w:rsidR="00F84F32" w:rsidRPr="00407000" w:rsidRDefault="00F84F32" w:rsidP="00407000">
      <w:pPr>
        <w:ind w:firstLine="0"/>
        <w:rPr>
          <w:color w:val="000000"/>
          <w:u w:val="single"/>
        </w:rPr>
      </w:pPr>
      <w:r w:rsidRPr="00407000">
        <w:rPr>
          <w:color w:val="000000"/>
          <w:u w:val="single"/>
        </w:rPr>
        <w:t>Stav opatření:</w:t>
      </w:r>
    </w:p>
    <w:p w:rsidR="00F84F32" w:rsidRDefault="00F84F32" w:rsidP="002C447E">
      <w:r w:rsidRPr="008B7C3C">
        <w:t xml:space="preserve">V roce 2020 proběhlo zadávací řízení na </w:t>
      </w:r>
      <w:r>
        <w:t xml:space="preserve">tvorbu </w:t>
      </w:r>
      <w:r w:rsidRPr="008B7C3C">
        <w:t>Strategi</w:t>
      </w:r>
      <w:r>
        <w:t>e</w:t>
      </w:r>
      <w:r w:rsidRPr="008B7C3C">
        <w:t xml:space="preserve"> </w:t>
      </w:r>
      <w:r>
        <w:t xml:space="preserve">rozvoje </w:t>
      </w:r>
      <w:r w:rsidRPr="008B7C3C">
        <w:t xml:space="preserve">kultury </w:t>
      </w:r>
      <w:r w:rsidRPr="00D44FB4">
        <w:t>a kreativní</w:t>
      </w:r>
      <w:r>
        <w:t>ch</w:t>
      </w:r>
      <w:r w:rsidRPr="00D44FB4">
        <w:t xml:space="preserve"> průmysl</w:t>
      </w:r>
      <w:r>
        <w:t>ů</w:t>
      </w:r>
      <w:r w:rsidRPr="00D44FB4">
        <w:t xml:space="preserve"> města Olomouc </w:t>
      </w:r>
      <w:r>
        <w:t>a</w:t>
      </w:r>
      <w:r w:rsidRPr="008B7C3C">
        <w:t xml:space="preserve"> na </w:t>
      </w:r>
      <w:r>
        <w:t xml:space="preserve">aktualizaci </w:t>
      </w:r>
      <w:r w:rsidRPr="008B7C3C">
        <w:t>Strategi</w:t>
      </w:r>
      <w:r>
        <w:t>e rozvoje</w:t>
      </w:r>
      <w:r w:rsidRPr="008B7C3C">
        <w:t xml:space="preserve"> cestovního ruchu</w:t>
      </w:r>
      <w:r>
        <w:t xml:space="preserve"> města Olomouce</w:t>
      </w:r>
      <w:r w:rsidRPr="008B7C3C">
        <w:t>. Doba platn</w:t>
      </w:r>
      <w:r>
        <w:t>osti obou strategií byla upravena na období 2022</w:t>
      </w:r>
      <w:r w:rsidRPr="00407000">
        <w:rPr>
          <w:color w:val="000000"/>
        </w:rPr>
        <w:t>–</w:t>
      </w:r>
      <w:r w:rsidRPr="008B7C3C">
        <w:t xml:space="preserve">2027. </w:t>
      </w:r>
      <w:r>
        <w:t>Dále probíhaly práce na tvorbě nové</w:t>
      </w:r>
      <w:r w:rsidRPr="008B7C3C">
        <w:t xml:space="preserve"> Koncepc</w:t>
      </w:r>
      <w:r>
        <w:t>e statutárního města Olomouce v oblasti podpory</w:t>
      </w:r>
      <w:r w:rsidRPr="008B7C3C">
        <w:t xml:space="preserve"> sportu a</w:t>
      </w:r>
      <w:r>
        <w:t> </w:t>
      </w:r>
      <w:r w:rsidRPr="008B7C3C">
        <w:t>pohybu na období 2021</w:t>
      </w:r>
      <w:r w:rsidRPr="00407000">
        <w:rPr>
          <w:color w:val="000000"/>
        </w:rPr>
        <w:t>–</w:t>
      </w:r>
      <w:r w:rsidRPr="008B7C3C">
        <w:t>2024.</w:t>
      </w:r>
      <w:r>
        <w:t xml:space="preserve"> </w:t>
      </w:r>
    </w:p>
    <w:p w:rsidR="00F84F32" w:rsidRDefault="00F84F32" w:rsidP="00407000">
      <w:pPr>
        <w:ind w:firstLine="0"/>
        <w:rPr>
          <w:kern w:val="24"/>
        </w:rPr>
      </w:pPr>
    </w:p>
    <w:p w:rsidR="00F84F32" w:rsidRPr="00407000" w:rsidRDefault="00F84F32" w:rsidP="00407000">
      <w:pPr>
        <w:ind w:firstLine="0"/>
        <w:rPr>
          <w:kern w:val="24"/>
        </w:rPr>
      </w:pPr>
    </w:p>
    <w:p w:rsidR="00F84F32" w:rsidRPr="00407000" w:rsidRDefault="00F84F32" w:rsidP="00407000">
      <w:pPr>
        <w:shd w:val="clear" w:color="auto" w:fill="FDE9D9"/>
        <w:ind w:firstLine="0"/>
        <w:textAlignment w:val="baseline"/>
        <w:rPr>
          <w:b/>
          <w:kern w:val="24"/>
        </w:rPr>
      </w:pPr>
      <w:r w:rsidRPr="00407000">
        <w:rPr>
          <w:b/>
          <w:bCs/>
          <w:kern w:val="24"/>
        </w:rPr>
        <w:t>Cíl 2.3 Zmodernizovat a rozšířit nabídku volnočasové, kulturní, sportovní a turistické infrastruktury včetně využití potenciálu vodních toků a vodních ploch</w:t>
      </w:r>
    </w:p>
    <w:p w:rsidR="00F84F32" w:rsidRPr="00407000" w:rsidRDefault="00F84F32" w:rsidP="00407000"/>
    <w:tbl>
      <w:tblPr>
        <w:tblW w:w="9720"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233"/>
        <w:gridCol w:w="1620"/>
        <w:gridCol w:w="1177"/>
        <w:gridCol w:w="1235"/>
        <w:gridCol w:w="1368"/>
        <w:gridCol w:w="900"/>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23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400"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0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233"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62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35"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368"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0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B96A10">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2.3</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18.</w:t>
            </w:r>
          </w:p>
        </w:tc>
        <w:tc>
          <w:tcPr>
            <w:tcW w:w="2233" w:type="dxa"/>
            <w:vAlign w:val="center"/>
          </w:tcPr>
          <w:p w:rsidR="00F84F32" w:rsidRPr="00407000" w:rsidRDefault="00F84F32" w:rsidP="00407000">
            <w:pPr>
              <w:ind w:firstLine="0"/>
              <w:jc w:val="left"/>
              <w:rPr>
                <w:sz w:val="18"/>
                <w:szCs w:val="18"/>
              </w:rPr>
            </w:pPr>
            <w:r w:rsidRPr="00407000">
              <w:rPr>
                <w:sz w:val="18"/>
                <w:szCs w:val="18"/>
              </w:rPr>
              <w:t>Rozloha revitalizovaného území podél vodních ploch (m</w:t>
            </w:r>
            <w:r w:rsidRPr="00407000">
              <w:rPr>
                <w:sz w:val="18"/>
                <w:szCs w:val="18"/>
                <w:vertAlign w:val="superscript"/>
              </w:rPr>
              <w:t>2</w:t>
            </w:r>
            <w:r w:rsidRPr="00407000">
              <w:rPr>
                <w:sz w:val="18"/>
                <w:szCs w:val="18"/>
              </w:rPr>
              <w:t>)</w:t>
            </w:r>
          </w:p>
        </w:tc>
        <w:tc>
          <w:tcPr>
            <w:tcW w:w="162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n.a.</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35"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1368"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900" w:type="dxa"/>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r w:rsidR="00F84F32" w:rsidRPr="00407000" w:rsidTr="00B96A10">
        <w:tc>
          <w:tcPr>
            <w:tcW w:w="560" w:type="dxa"/>
            <w:vMerge/>
            <w:tcBorders>
              <w:bottom w:val="single" w:sz="12" w:space="0" w:color="000000"/>
            </w:tcBorders>
            <w:vAlign w:val="center"/>
          </w:tcPr>
          <w:p w:rsidR="00F84F32" w:rsidRPr="00407000" w:rsidRDefault="00F84F32" w:rsidP="00407000">
            <w:pPr>
              <w:widowControl/>
              <w:ind w:firstLine="0"/>
              <w:jc w:val="left"/>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19.</w:t>
            </w:r>
          </w:p>
        </w:tc>
        <w:tc>
          <w:tcPr>
            <w:tcW w:w="2233"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 xml:space="preserve">Počet zrekonstruovaných a nově vystavěných sportovních, kulturních </w:t>
            </w:r>
            <w:r w:rsidRPr="00407000">
              <w:rPr>
                <w:sz w:val="18"/>
                <w:szCs w:val="18"/>
              </w:rPr>
              <w:lastRenderedPageBreak/>
              <w:t>a volnočasových zařízení (počet, kumulovaný)</w:t>
            </w:r>
            <w:r w:rsidRPr="00407000">
              <w:rPr>
                <w:rStyle w:val="Znakapoznpodarou"/>
                <w:sz w:val="18"/>
                <w:szCs w:val="18"/>
              </w:rPr>
              <w:footnoteReference w:id="23"/>
            </w:r>
          </w:p>
        </w:tc>
        <w:tc>
          <w:tcPr>
            <w:tcW w:w="162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lastRenderedPageBreak/>
              <w:t>A/</w:t>
            </w:r>
            <w:r>
              <w:rPr>
                <w:rFonts w:eastAsia="MS Mincho"/>
                <w:spacing w:val="4"/>
                <w:sz w:val="18"/>
                <w:szCs w:val="18"/>
                <w:lang w:eastAsia="en-US"/>
              </w:rPr>
              <w:t>27</w:t>
            </w:r>
            <w:r w:rsidRPr="00407000">
              <w:rPr>
                <w:rFonts w:eastAsia="MS Mincho"/>
                <w:spacing w:val="4"/>
                <w:sz w:val="18"/>
                <w:szCs w:val="18"/>
                <w:lang w:eastAsia="en-US"/>
              </w:rPr>
              <w:t>, B/</w:t>
            </w:r>
            <w:r>
              <w:rPr>
                <w:rFonts w:eastAsia="MS Mincho"/>
                <w:spacing w:val="4"/>
                <w:sz w:val="18"/>
                <w:szCs w:val="18"/>
                <w:lang w:eastAsia="en-US"/>
              </w:rPr>
              <w:t>12</w:t>
            </w:r>
            <w:r w:rsidRPr="00407000">
              <w:rPr>
                <w:rFonts w:eastAsia="MS Mincho"/>
                <w:spacing w:val="4"/>
                <w:sz w:val="18"/>
                <w:szCs w:val="18"/>
                <w:lang w:eastAsia="en-US"/>
              </w:rPr>
              <w:t>,</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 C/</w:t>
            </w:r>
            <w:r>
              <w:rPr>
                <w:rFonts w:eastAsia="MS Mincho"/>
                <w:spacing w:val="4"/>
                <w:sz w:val="18"/>
                <w:szCs w:val="18"/>
                <w:lang w:eastAsia="en-US"/>
              </w:rPr>
              <w:t>3</w:t>
            </w:r>
            <w:r w:rsidRPr="00407000">
              <w:rPr>
                <w:rFonts w:eastAsia="MS Mincho"/>
                <w:spacing w:val="4"/>
                <w:sz w:val="18"/>
                <w:szCs w:val="18"/>
                <w:lang w:eastAsia="en-US"/>
              </w:rPr>
              <w:t>, D/</w:t>
            </w:r>
            <w:r>
              <w:rPr>
                <w:rFonts w:eastAsia="MS Mincho"/>
                <w:spacing w:val="4"/>
                <w:sz w:val="18"/>
                <w:szCs w:val="18"/>
                <w:lang w:eastAsia="en-US"/>
              </w:rPr>
              <w:t>2</w:t>
            </w:r>
          </w:p>
        </w:tc>
        <w:tc>
          <w:tcPr>
            <w:tcW w:w="1177" w:type="dxa"/>
            <w:tcBorders>
              <w:bottom w:val="single" w:sz="12" w:space="0" w:color="000000"/>
            </w:tcBorders>
            <w:vAlign w:val="center"/>
          </w:tcPr>
          <w:p w:rsidR="00F84F32" w:rsidRPr="00505CDF" w:rsidRDefault="00F84F32" w:rsidP="00407000">
            <w:pPr>
              <w:widowControl/>
              <w:ind w:firstLine="0"/>
              <w:jc w:val="center"/>
              <w:rPr>
                <w:rFonts w:eastAsia="MS Mincho"/>
                <w:spacing w:val="4"/>
                <w:sz w:val="18"/>
                <w:szCs w:val="18"/>
                <w:lang w:eastAsia="en-US"/>
              </w:rPr>
            </w:pPr>
            <w:r w:rsidRPr="00505CDF">
              <w:rPr>
                <w:rFonts w:eastAsia="MS Mincho"/>
                <w:spacing w:val="4"/>
                <w:sz w:val="18"/>
                <w:szCs w:val="18"/>
                <w:lang w:eastAsia="en-US"/>
              </w:rPr>
              <w:t>A/27, B/14, C/4, D/4</w:t>
            </w:r>
          </w:p>
        </w:tc>
        <w:tc>
          <w:tcPr>
            <w:tcW w:w="1235" w:type="dxa"/>
            <w:tcBorders>
              <w:bottom w:val="single" w:sz="12" w:space="0" w:color="000000"/>
            </w:tcBorders>
            <w:vAlign w:val="center"/>
          </w:tcPr>
          <w:p w:rsidR="00F84F32" w:rsidRPr="00C405FE" w:rsidRDefault="00F84F32" w:rsidP="00407000">
            <w:pPr>
              <w:widowControl/>
              <w:ind w:firstLine="0"/>
              <w:jc w:val="center"/>
              <w:rPr>
                <w:rFonts w:eastAsia="MS Mincho"/>
                <w:spacing w:val="4"/>
                <w:sz w:val="18"/>
                <w:szCs w:val="18"/>
                <w:lang w:eastAsia="en-US"/>
              </w:rPr>
            </w:pPr>
            <w:r w:rsidRPr="00C405FE">
              <w:rPr>
                <w:rFonts w:eastAsia="MS Mincho"/>
                <w:spacing w:val="4"/>
                <w:sz w:val="18"/>
                <w:szCs w:val="18"/>
                <w:lang w:eastAsia="en-US"/>
              </w:rPr>
              <w:t>↑</w:t>
            </w:r>
          </w:p>
        </w:tc>
        <w:tc>
          <w:tcPr>
            <w:tcW w:w="1368" w:type="dxa"/>
            <w:tcBorders>
              <w:bottom w:val="single" w:sz="12" w:space="0" w:color="000000"/>
            </w:tcBorders>
            <w:vAlign w:val="center"/>
          </w:tcPr>
          <w:p w:rsidR="00F84F32" w:rsidRPr="00C405FE" w:rsidRDefault="00F84F32" w:rsidP="00407000">
            <w:pPr>
              <w:widowControl/>
              <w:ind w:firstLine="0"/>
              <w:jc w:val="center"/>
              <w:rPr>
                <w:rFonts w:eastAsia="MS Mincho"/>
                <w:spacing w:val="4"/>
                <w:sz w:val="18"/>
                <w:szCs w:val="18"/>
                <w:lang w:eastAsia="en-US"/>
              </w:rPr>
            </w:pPr>
            <w:r w:rsidRPr="00C405FE">
              <w:rPr>
                <w:rFonts w:eastAsia="MS Mincho"/>
                <w:spacing w:val="4"/>
                <w:sz w:val="18"/>
                <w:szCs w:val="18"/>
                <w:lang w:eastAsia="en-US"/>
              </w:rPr>
              <w:t>A/27, B/12,</w:t>
            </w:r>
          </w:p>
          <w:p w:rsidR="00F84F32" w:rsidRPr="00C405FE" w:rsidRDefault="00F84F32" w:rsidP="00407000">
            <w:pPr>
              <w:widowControl/>
              <w:ind w:firstLine="0"/>
              <w:jc w:val="center"/>
              <w:rPr>
                <w:rFonts w:eastAsia="MS Mincho"/>
                <w:spacing w:val="4"/>
                <w:sz w:val="18"/>
                <w:szCs w:val="18"/>
                <w:lang w:eastAsia="en-US"/>
              </w:rPr>
            </w:pPr>
            <w:r w:rsidRPr="00C405FE">
              <w:rPr>
                <w:rFonts w:eastAsia="MS Mincho"/>
                <w:spacing w:val="4"/>
                <w:sz w:val="18"/>
                <w:szCs w:val="18"/>
                <w:lang w:eastAsia="en-US"/>
              </w:rPr>
              <w:t xml:space="preserve"> C/3, D/2</w:t>
            </w:r>
          </w:p>
        </w:tc>
        <w:tc>
          <w:tcPr>
            <w:tcW w:w="900" w:type="dxa"/>
            <w:tcBorders>
              <w:bottom w:val="single" w:sz="12" w:space="0" w:color="000000"/>
            </w:tcBorders>
            <w:shd w:val="clear" w:color="auto" w:fill="FFC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B"/>
            </w:r>
          </w:p>
        </w:tc>
      </w:tr>
    </w:tbl>
    <w:p w:rsidR="00F84F32" w:rsidRPr="00407000" w:rsidRDefault="00F84F32" w:rsidP="00407000"/>
    <w:p w:rsidR="00F84F32" w:rsidRPr="00407000" w:rsidRDefault="00F84F32" w:rsidP="00407000">
      <w:pPr>
        <w:pStyle w:val="Odstavecseseznamem"/>
        <w:ind w:left="0" w:firstLine="0"/>
        <w:textAlignment w:val="baseline"/>
        <w:rPr>
          <w:rFonts w:ascii="Times New Roman" w:hAnsi="Times New Roman"/>
          <w:b/>
          <w:color w:val="000000"/>
        </w:rPr>
      </w:pPr>
      <w:r w:rsidRPr="00407000">
        <w:rPr>
          <w:rFonts w:ascii="Times New Roman" w:hAnsi="Times New Roman"/>
          <w:b/>
          <w:color w:val="000000"/>
        </w:rPr>
        <w:t xml:space="preserve">Opatření 2.3.1 Rekonstrukce, modernizace, opravy a revitalizace stávající infrastruktury v oblasti cestovního ruchu, kultury a sportu </w:t>
      </w:r>
    </w:p>
    <w:p w:rsidR="00F84F32" w:rsidRPr="005A2EA0" w:rsidRDefault="00F84F32" w:rsidP="00407000">
      <w:pPr>
        <w:ind w:firstLine="0"/>
        <w:rPr>
          <w:color w:val="000000"/>
          <w:u w:val="single"/>
        </w:rPr>
      </w:pPr>
      <w:r w:rsidRPr="00407000">
        <w:rPr>
          <w:color w:val="000000"/>
          <w:u w:val="single"/>
        </w:rPr>
        <w:t>Stav opatření</w:t>
      </w:r>
      <w:r w:rsidRPr="005A2EA0">
        <w:rPr>
          <w:color w:val="000000"/>
          <w:u w:val="single"/>
        </w:rPr>
        <w:t>:</w:t>
      </w:r>
    </w:p>
    <w:p w:rsidR="00F84F32" w:rsidRPr="003C7322" w:rsidRDefault="00F84F32" w:rsidP="005A2EA0">
      <w:pPr>
        <w:rPr>
          <w:color w:val="000000"/>
        </w:rPr>
      </w:pPr>
      <w:r w:rsidRPr="002C447E">
        <w:rPr>
          <w:color w:val="000000"/>
        </w:rPr>
        <w:t>V roce 2020 byla realizována oprava střechy Plaveckého stadionu. Oprava střechy Zimního stadionu byla posunuta na rok 2021.</w:t>
      </w:r>
      <w:r>
        <w:rPr>
          <w:color w:val="000000"/>
        </w:rPr>
        <w:t xml:space="preserve"> </w:t>
      </w:r>
    </w:p>
    <w:p w:rsidR="00F84F32" w:rsidRDefault="00F84F32" w:rsidP="00407000">
      <w:pPr>
        <w:rPr>
          <w:rFonts w:cs="Calibri"/>
          <w:color w:val="000000"/>
        </w:rPr>
      </w:pPr>
      <w:r>
        <w:rPr>
          <w:rFonts w:cs="Calibri"/>
          <w:color w:val="000000"/>
        </w:rPr>
        <w:t xml:space="preserve">V roce 2020 byla dokončena oprava budovy historické radnice včetně hlavní věže. V květnu 2020 byly na jihozápadním nároží radnice dokončeny sluneční hodiny. Historická radnice se tak vrátila do podoby, v jaké ji znali Olomoučané nejméně do roku 1918. </w:t>
      </w:r>
    </w:p>
    <w:p w:rsidR="00F84F32" w:rsidRPr="00407000" w:rsidRDefault="00F84F32" w:rsidP="00407000">
      <w:pPr>
        <w:rPr>
          <w:color w:val="000000"/>
        </w:rPr>
      </w:pPr>
    </w:p>
    <w:p w:rsidR="00F84F32" w:rsidRPr="00407000" w:rsidRDefault="00F84F32" w:rsidP="00407000">
      <w:pPr>
        <w:pStyle w:val="Odstavecseseznamem"/>
        <w:tabs>
          <w:tab w:val="left" w:pos="626"/>
        </w:tabs>
        <w:ind w:left="626" w:hanging="647"/>
        <w:textAlignment w:val="baseline"/>
        <w:rPr>
          <w:rFonts w:ascii="Times New Roman" w:hAnsi="Times New Roman"/>
          <w:b/>
          <w:color w:val="000000"/>
        </w:rPr>
      </w:pPr>
      <w:r w:rsidRPr="00407000">
        <w:rPr>
          <w:rFonts w:ascii="Times New Roman" w:hAnsi="Times New Roman"/>
          <w:b/>
          <w:color w:val="000000"/>
        </w:rPr>
        <w:t>Opatření 2.3.2 Rozvoj dalšího potenciálu sportovních a kulturních zařízení</w:t>
      </w:r>
    </w:p>
    <w:p w:rsidR="00F84F32" w:rsidRPr="00407000" w:rsidRDefault="00F84F32" w:rsidP="00407000">
      <w:pPr>
        <w:ind w:firstLine="0"/>
        <w:rPr>
          <w:color w:val="000000"/>
          <w:u w:val="single"/>
        </w:rPr>
      </w:pPr>
      <w:r w:rsidRPr="00407000">
        <w:rPr>
          <w:color w:val="000000"/>
          <w:u w:val="single"/>
        </w:rPr>
        <w:t>Stav opatření:</w:t>
      </w:r>
    </w:p>
    <w:p w:rsidR="00F84F32" w:rsidRPr="00407000" w:rsidRDefault="00F84F32" w:rsidP="00AD01FB">
      <w:r>
        <w:t>Opatření nebylo v roce 2020</w:t>
      </w:r>
      <w:r w:rsidRPr="00407000">
        <w:t xml:space="preserve"> naplňováno.</w:t>
      </w:r>
    </w:p>
    <w:p w:rsidR="00F84F32" w:rsidRPr="003C7322" w:rsidRDefault="00F84F32" w:rsidP="00407000">
      <w:pPr>
        <w:rPr>
          <w:color w:val="000000"/>
        </w:rPr>
      </w:pPr>
    </w:p>
    <w:p w:rsidR="00F84F32" w:rsidRPr="00407000" w:rsidRDefault="00F84F32" w:rsidP="00407000">
      <w:pPr>
        <w:ind w:firstLine="0"/>
        <w:rPr>
          <w:b/>
          <w:color w:val="000000"/>
        </w:rPr>
      </w:pPr>
      <w:r w:rsidRPr="00407000">
        <w:rPr>
          <w:b/>
          <w:color w:val="000000"/>
        </w:rPr>
        <w:t>Opatření 2.3.3 Vybudování infrastruktury a zázemí pro vodní rekreaci a vodní sporty</w:t>
      </w:r>
    </w:p>
    <w:p w:rsidR="00F84F32" w:rsidRPr="00407000" w:rsidRDefault="00F84F32" w:rsidP="00407000">
      <w:pPr>
        <w:ind w:firstLine="0"/>
        <w:rPr>
          <w:color w:val="000000"/>
          <w:u w:val="single"/>
        </w:rPr>
      </w:pPr>
      <w:r w:rsidRPr="00407000">
        <w:rPr>
          <w:color w:val="000000"/>
          <w:u w:val="single"/>
        </w:rPr>
        <w:t>Stav opatření:</w:t>
      </w:r>
    </w:p>
    <w:p w:rsidR="00F84F32" w:rsidRDefault="00F84F32" w:rsidP="00407000">
      <w:pPr>
        <w:rPr>
          <w:color w:val="000000"/>
        </w:rPr>
      </w:pPr>
      <w:r w:rsidRPr="002C447E">
        <w:t xml:space="preserve">V roce 2020 probíhala jednání ke zpřístupnění náplavky v okolí řeky Moravy. Byl řešen taktéž provozní řád náplavky a možnosti </w:t>
      </w:r>
      <w:r>
        <w:t xml:space="preserve">jejího </w:t>
      </w:r>
      <w:r w:rsidRPr="002C447E">
        <w:t>využití.</w:t>
      </w:r>
      <w:r>
        <w:t xml:space="preserve"> </w:t>
      </w:r>
    </w:p>
    <w:p w:rsidR="00F84F32" w:rsidRPr="00407000" w:rsidRDefault="00F84F32" w:rsidP="00407000">
      <w:pPr>
        <w:rPr>
          <w:color w:val="000000"/>
        </w:rPr>
      </w:pPr>
    </w:p>
    <w:p w:rsidR="00F84F32" w:rsidRPr="00407000" w:rsidRDefault="00F84F32" w:rsidP="00407000">
      <w:pPr>
        <w:ind w:firstLine="0"/>
        <w:textAlignment w:val="baseline"/>
        <w:rPr>
          <w:b/>
          <w:color w:val="000000"/>
          <w:kern w:val="24"/>
        </w:rPr>
      </w:pPr>
      <w:r w:rsidRPr="00407000">
        <w:rPr>
          <w:b/>
          <w:color w:val="000000"/>
        </w:rPr>
        <w:t>Opatření</w:t>
      </w:r>
      <w:r w:rsidRPr="00407000">
        <w:rPr>
          <w:b/>
          <w:color w:val="000000"/>
          <w:kern w:val="24"/>
        </w:rPr>
        <w:t xml:space="preserve"> 2.3.4 Výstavba nových moderních sportovních a kulturních zařízení</w:t>
      </w:r>
    </w:p>
    <w:p w:rsidR="00F84F32" w:rsidRPr="00407000" w:rsidRDefault="00F84F32" w:rsidP="00407000">
      <w:pPr>
        <w:ind w:firstLine="0"/>
        <w:rPr>
          <w:color w:val="000000"/>
          <w:u w:val="single"/>
        </w:rPr>
      </w:pPr>
      <w:r w:rsidRPr="00407000">
        <w:rPr>
          <w:color w:val="000000"/>
          <w:u w:val="single"/>
        </w:rPr>
        <w:t>Stav opatření:</w:t>
      </w:r>
    </w:p>
    <w:p w:rsidR="00F84F32" w:rsidRDefault="00F84F32" w:rsidP="00AD01FB">
      <w:r w:rsidRPr="002C447E">
        <w:t>V roce 2020 probíhala jednání k výstavbě</w:t>
      </w:r>
      <w:r w:rsidRPr="005A2EA0">
        <w:t xml:space="preserve"> a </w:t>
      </w:r>
      <w:r>
        <w:t xml:space="preserve">následnému </w:t>
      </w:r>
      <w:r w:rsidRPr="005A2EA0">
        <w:t>provozování Malé haly, jejíž</w:t>
      </w:r>
      <w:r w:rsidRPr="002C447E">
        <w:t xml:space="preserve"> projekt je součástí projektu Multifukční haly. </w:t>
      </w:r>
      <w:r>
        <w:t>Ve spolupráci</w:t>
      </w:r>
      <w:r w:rsidRPr="002C447E">
        <w:t xml:space="preserve"> s externí fi</w:t>
      </w:r>
      <w:r w:rsidRPr="005A2EA0">
        <w:t xml:space="preserve">rmou </w:t>
      </w:r>
      <w:r>
        <w:t xml:space="preserve">byl </w:t>
      </w:r>
      <w:r w:rsidRPr="005A2EA0">
        <w:t>připravován návrh koncesní</w:t>
      </w:r>
      <w:r w:rsidRPr="002C447E">
        <w:t xml:space="preserve"> smlouvy a smlouvy o provozu.</w:t>
      </w:r>
      <w:r>
        <w:t xml:space="preserve"> </w:t>
      </w:r>
    </w:p>
    <w:p w:rsidR="00F84F32" w:rsidRDefault="00F84F32" w:rsidP="00AD01FB"/>
    <w:p w:rsidR="00F84F32" w:rsidRPr="00407000" w:rsidRDefault="00F84F32" w:rsidP="00AD01FB"/>
    <w:p w:rsidR="00F84F32" w:rsidRPr="00407000" w:rsidRDefault="00F84F32" w:rsidP="00407000">
      <w:pPr>
        <w:shd w:val="clear" w:color="auto" w:fill="FDE9D9"/>
        <w:ind w:firstLine="0"/>
        <w:textAlignment w:val="baseline"/>
        <w:rPr>
          <w:b/>
          <w:kern w:val="24"/>
        </w:rPr>
      </w:pPr>
      <w:r w:rsidRPr="00407000">
        <w:rPr>
          <w:b/>
          <w:bCs/>
          <w:kern w:val="24"/>
        </w:rPr>
        <w:t>Cíl 2.4 Rozvinout podmínky pro cykloturistiku a pěší dostupnost turistických cílů</w:t>
      </w:r>
    </w:p>
    <w:p w:rsidR="00F84F32" w:rsidRPr="00407000" w:rsidRDefault="00F84F32" w:rsidP="00407000"/>
    <w:tbl>
      <w:tblPr>
        <w:tblW w:w="965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163"/>
        <w:gridCol w:w="983"/>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0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029"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50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16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98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B96A10">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2.4</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20.</w:t>
            </w:r>
          </w:p>
        </w:tc>
        <w:tc>
          <w:tcPr>
            <w:tcW w:w="2507" w:type="dxa"/>
            <w:vAlign w:val="center"/>
          </w:tcPr>
          <w:p w:rsidR="00F84F32" w:rsidRPr="00407000" w:rsidRDefault="00F84F32" w:rsidP="00407000">
            <w:pPr>
              <w:ind w:firstLine="0"/>
              <w:jc w:val="left"/>
              <w:rPr>
                <w:sz w:val="18"/>
                <w:szCs w:val="18"/>
              </w:rPr>
            </w:pPr>
            <w:r w:rsidRPr="00407000">
              <w:rPr>
                <w:sz w:val="18"/>
                <w:szCs w:val="18"/>
              </w:rPr>
              <w:t>Délka rekonstruovaných a nově vybudovaných cyklostezek (m, kumulovaný)</w:t>
            </w:r>
          </w:p>
        </w:tc>
        <w:tc>
          <w:tcPr>
            <w:tcW w:w="1706" w:type="dxa"/>
            <w:vAlign w:val="center"/>
          </w:tcPr>
          <w:p w:rsidR="00F84F32" w:rsidRPr="00407000" w:rsidRDefault="00F84F32" w:rsidP="00407000">
            <w:pPr>
              <w:widowControl/>
              <w:ind w:firstLine="0"/>
              <w:jc w:val="center"/>
              <w:rPr>
                <w:color w:val="000000"/>
                <w:sz w:val="18"/>
                <w:szCs w:val="18"/>
              </w:rPr>
            </w:pPr>
            <w:r w:rsidRPr="00407000">
              <w:rPr>
                <w:color w:val="000000"/>
                <w:sz w:val="18"/>
                <w:szCs w:val="18"/>
              </w:rPr>
              <w:t>1 726</w:t>
            </w:r>
          </w:p>
        </w:tc>
        <w:tc>
          <w:tcPr>
            <w:tcW w:w="1177" w:type="dxa"/>
            <w:vAlign w:val="center"/>
          </w:tcPr>
          <w:p w:rsidR="00F84F32" w:rsidRPr="00407000" w:rsidRDefault="00F84F32" w:rsidP="00407000">
            <w:pPr>
              <w:widowControl/>
              <w:ind w:firstLine="0"/>
              <w:jc w:val="center"/>
              <w:rPr>
                <w:color w:val="000000"/>
                <w:sz w:val="18"/>
                <w:szCs w:val="18"/>
              </w:rPr>
            </w:pPr>
            <w:r w:rsidRPr="00407000">
              <w:rPr>
                <w:color w:val="000000"/>
                <w:sz w:val="18"/>
                <w:szCs w:val="18"/>
              </w:rPr>
              <w:t>7 754</w:t>
            </w:r>
          </w:p>
        </w:tc>
        <w:tc>
          <w:tcPr>
            <w:tcW w:w="1163" w:type="dxa"/>
            <w:vAlign w:val="center"/>
          </w:tcPr>
          <w:p w:rsidR="00F84F32" w:rsidRPr="00407000" w:rsidRDefault="00F84F32" w:rsidP="00407000">
            <w:pPr>
              <w:widowControl/>
              <w:ind w:firstLine="0"/>
              <w:jc w:val="center"/>
              <w:rPr>
                <w:color w:val="000000"/>
                <w:sz w:val="18"/>
                <w:szCs w:val="18"/>
              </w:rPr>
            </w:pPr>
            <w:r w:rsidRPr="00407000">
              <w:rPr>
                <w:rFonts w:eastAsia="MS Mincho"/>
                <w:spacing w:val="4"/>
                <w:sz w:val="18"/>
                <w:szCs w:val="18"/>
                <w:lang w:eastAsia="en-US"/>
              </w:rPr>
              <w:t>↑</w:t>
            </w:r>
          </w:p>
        </w:tc>
        <w:tc>
          <w:tcPr>
            <w:tcW w:w="983" w:type="dxa"/>
            <w:vAlign w:val="center"/>
          </w:tcPr>
          <w:p w:rsidR="00F84F32" w:rsidRPr="00407000" w:rsidRDefault="00F84F32" w:rsidP="00407000">
            <w:pPr>
              <w:widowControl/>
              <w:ind w:firstLine="0"/>
              <w:jc w:val="center"/>
              <w:rPr>
                <w:color w:val="000000"/>
                <w:sz w:val="18"/>
                <w:szCs w:val="18"/>
              </w:rPr>
            </w:pPr>
            <w:r>
              <w:rPr>
                <w:color w:val="000000"/>
                <w:sz w:val="18"/>
                <w:szCs w:val="18"/>
              </w:rPr>
              <w:t>9 366</w:t>
            </w:r>
          </w:p>
        </w:tc>
        <w:tc>
          <w:tcPr>
            <w:tcW w:w="928"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B96A10">
        <w:tc>
          <w:tcPr>
            <w:tcW w:w="560" w:type="dxa"/>
            <w:vMerge/>
            <w:tcBorders>
              <w:bottom w:val="single" w:sz="12" w:space="0" w:color="000000"/>
            </w:tcBorders>
            <w:vAlign w:val="center"/>
          </w:tcPr>
          <w:p w:rsidR="00F84F32" w:rsidRPr="00407000" w:rsidRDefault="00F84F32" w:rsidP="00407000">
            <w:pPr>
              <w:widowControl/>
              <w:ind w:firstLine="0"/>
              <w:jc w:val="left"/>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21.</w:t>
            </w:r>
          </w:p>
        </w:tc>
        <w:tc>
          <w:tcPr>
            <w:tcW w:w="2507"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Počet nově vybudovaných míst pro parkování kol (počet, kumulovaný)</w:t>
            </w:r>
          </w:p>
        </w:tc>
        <w:tc>
          <w:tcPr>
            <w:tcW w:w="1706"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29</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150</w:t>
            </w:r>
          </w:p>
        </w:tc>
        <w:tc>
          <w:tcPr>
            <w:tcW w:w="116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98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352</w:t>
            </w:r>
          </w:p>
        </w:tc>
        <w:tc>
          <w:tcPr>
            <w:tcW w:w="928" w:type="dxa"/>
            <w:tcBorders>
              <w:bottom w:val="single" w:sz="12" w:space="0" w:color="000000"/>
            </w:tcBorders>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bl>
    <w:p w:rsidR="00F84F32" w:rsidRDefault="00F84F32" w:rsidP="00407000"/>
    <w:p w:rsidR="00F84F32" w:rsidRDefault="00F84F32" w:rsidP="00407000"/>
    <w:p w:rsidR="00F84F32" w:rsidRPr="00407000" w:rsidRDefault="00F84F32" w:rsidP="00407000"/>
    <w:p w:rsidR="00F84F32" w:rsidRPr="00407000" w:rsidRDefault="00F84F32" w:rsidP="00407000">
      <w:pPr>
        <w:ind w:firstLine="0"/>
        <w:rPr>
          <w:b/>
        </w:rPr>
      </w:pPr>
      <w:r w:rsidRPr="00407000">
        <w:rPr>
          <w:b/>
        </w:rPr>
        <w:t>Opatření 2.4.1 Rozvoj nových cyklistických komunikací a tras, in-line stezek a služeb s tím souvisejících</w:t>
      </w:r>
    </w:p>
    <w:p w:rsidR="00F84F32" w:rsidRPr="00407000" w:rsidRDefault="00F84F32" w:rsidP="00407000">
      <w:pPr>
        <w:ind w:firstLine="0"/>
        <w:rPr>
          <w:u w:val="single"/>
        </w:rPr>
      </w:pPr>
      <w:r w:rsidRPr="00407000">
        <w:rPr>
          <w:u w:val="single"/>
        </w:rPr>
        <w:lastRenderedPageBreak/>
        <w:t>Stav opatření:</w:t>
      </w:r>
    </w:p>
    <w:p w:rsidR="00F84F32" w:rsidRPr="002C447E" w:rsidRDefault="00F84F32" w:rsidP="00AD01FB">
      <w:pPr>
        <w:rPr>
          <w:u w:val="single"/>
        </w:rPr>
      </w:pPr>
      <w:r w:rsidRPr="002C447E">
        <w:t>V roce 2020 město realizovalo</w:t>
      </w:r>
      <w:r>
        <w:t xml:space="preserve"> smíšenou stezku u VŠ kolejí Envelopa v délce 825 m, smíšené stezky na mostě u Bristolu v délce 260 m a cyklostezku na levém břehu Moravy od ul. Kosmonautů po ul. Wittgensteinovou v délce 390 m. Všechny tyto stezky byly vybudovány v rámci II.B etapy PPO.</w:t>
      </w:r>
      <w:r w:rsidRPr="00533A3D">
        <w:t xml:space="preserve"> </w:t>
      </w:r>
      <w:r w:rsidRPr="00533A3D">
        <w:rPr>
          <w:bCs/>
        </w:rPr>
        <w:t xml:space="preserve">Formou investic bylo v roce 2020 vybudováno </w:t>
      </w:r>
      <w:r>
        <w:rPr>
          <w:bCs/>
        </w:rPr>
        <w:t>celkem 1 475 m</w:t>
      </w:r>
      <w:r w:rsidRPr="00533A3D">
        <w:rPr>
          <w:bCs/>
        </w:rPr>
        <w:t xml:space="preserve"> cyklistických komunikací.</w:t>
      </w:r>
    </w:p>
    <w:p w:rsidR="00F84F32" w:rsidRPr="00533A3D" w:rsidRDefault="00F84F32" w:rsidP="00AD01FB">
      <w:pPr>
        <w:rPr>
          <w:u w:val="single"/>
        </w:rPr>
      </w:pPr>
      <w:r>
        <w:t>V roce 2020 dále</w:t>
      </w:r>
      <w:r w:rsidRPr="002C447E">
        <w:t xml:space="preserve"> pokračovaly práce na cyklostezce podél řeky Bystřice – Jantarová stezka I. část (od ulice U Ambulatoria až po lávku mezi Bělidly a Hodolany </w:t>
      </w:r>
      <w:r>
        <w:t>na ulici Bystrovanské). Akce</w:t>
      </w:r>
      <w:r w:rsidRPr="002C447E">
        <w:t xml:space="preserve"> nebyla v tomto roce dokončena</w:t>
      </w:r>
      <w:r>
        <w:t>, práce na ní budou probíhat v roce 2021.</w:t>
      </w:r>
      <w:r w:rsidRPr="002C447E">
        <w:t xml:space="preserve"> V roce 2020</w:t>
      </w:r>
      <w:r>
        <w:t xml:space="preserve"> byly SMOl opraveny následující cyklistické komunikace: </w:t>
      </w:r>
      <w:r w:rsidRPr="002C447E">
        <w:t xml:space="preserve">oprava na cyklotrase č. 5, rovněž na Jantarové stezce, a to v lesním úseku z Nemilan směrem na Nedvězí - III. etapa v celkové délce </w:t>
      </w:r>
      <w:r w:rsidRPr="00533A3D">
        <w:rPr>
          <w:bCs/>
        </w:rPr>
        <w:t>200 m</w:t>
      </w:r>
      <w:r w:rsidRPr="002C447E">
        <w:rPr>
          <w:b/>
          <w:bCs/>
        </w:rPr>
        <w:t>,</w:t>
      </w:r>
      <w:r>
        <w:rPr>
          <w:b/>
          <w:bCs/>
        </w:rPr>
        <w:t xml:space="preserve"> </w:t>
      </w:r>
      <w:r w:rsidRPr="002C447E">
        <w:t xml:space="preserve">cyklopruhy na krajské komunikaci ulice Komenského – Pasteurova – U Podjezdu </w:t>
      </w:r>
      <w:r w:rsidRPr="00533A3D">
        <w:rPr>
          <w:bCs/>
        </w:rPr>
        <w:t xml:space="preserve">325 </w:t>
      </w:r>
      <w:r>
        <w:rPr>
          <w:bCs/>
        </w:rPr>
        <w:t>m</w:t>
      </w:r>
      <w:r w:rsidRPr="00533A3D">
        <w:rPr>
          <w:bCs/>
        </w:rPr>
        <w:t>,</w:t>
      </w:r>
      <w:r>
        <w:rPr>
          <w:bCs/>
        </w:rPr>
        <w:t xml:space="preserve"> </w:t>
      </w:r>
      <w:r w:rsidRPr="002C447E">
        <w:t>chodník s povoleným vjezdem cyklistů ul. Kosmonautů (od.</w:t>
      </w:r>
      <w:r>
        <w:t> </w:t>
      </w:r>
      <w:r w:rsidRPr="002C447E">
        <w:t>ul.</w:t>
      </w:r>
      <w:r>
        <w:t xml:space="preserve"> </w:t>
      </w:r>
      <w:r w:rsidRPr="002C447E">
        <w:t xml:space="preserve">Vejdovského po ul. Wittgensteinovu) </w:t>
      </w:r>
      <w:r w:rsidRPr="00533A3D">
        <w:rPr>
          <w:bCs/>
        </w:rPr>
        <w:t>698 m</w:t>
      </w:r>
      <w:r w:rsidRPr="0066124F">
        <w:rPr>
          <w:bCs/>
        </w:rPr>
        <w:t xml:space="preserve"> a</w:t>
      </w:r>
      <w:r>
        <w:rPr>
          <w:b/>
          <w:bCs/>
        </w:rPr>
        <w:t xml:space="preserve"> </w:t>
      </w:r>
      <w:r w:rsidRPr="002C447E">
        <w:t xml:space="preserve">chodník s povoleným vjezdem cyklistů ul. Pavelkova (od řeky Bystřice po ul. Lipenskou) </w:t>
      </w:r>
      <w:r w:rsidRPr="00533A3D">
        <w:rPr>
          <w:bCs/>
        </w:rPr>
        <w:t>630 m.</w:t>
      </w:r>
      <w:r>
        <w:rPr>
          <w:bCs/>
        </w:rPr>
        <w:t xml:space="preserve"> </w:t>
      </w:r>
      <w:r w:rsidRPr="00533A3D">
        <w:rPr>
          <w:bCs/>
        </w:rPr>
        <w:t xml:space="preserve">Formou oprav bylo v roce 2020 </w:t>
      </w:r>
      <w:r>
        <w:rPr>
          <w:bCs/>
        </w:rPr>
        <w:t xml:space="preserve">rekonstruováno či </w:t>
      </w:r>
      <w:r w:rsidRPr="00533A3D">
        <w:rPr>
          <w:bCs/>
        </w:rPr>
        <w:t xml:space="preserve">vybudováno </w:t>
      </w:r>
      <w:r>
        <w:rPr>
          <w:bCs/>
        </w:rPr>
        <w:t xml:space="preserve">celkem </w:t>
      </w:r>
      <w:r w:rsidRPr="00533A3D">
        <w:rPr>
          <w:bCs/>
        </w:rPr>
        <w:t>1 853 m cyklistických komunikací.</w:t>
      </w:r>
    </w:p>
    <w:p w:rsidR="00F84F32" w:rsidRPr="00533A3D" w:rsidRDefault="00F84F32" w:rsidP="00AD01FB">
      <w:r w:rsidRPr="00533A3D">
        <w:rPr>
          <w:bCs/>
        </w:rPr>
        <w:t>Celková délka zrealizovaných cyklistických komunikací v r. 2020 byla 3 328 m.</w:t>
      </w:r>
    </w:p>
    <w:p w:rsidR="00F84F32" w:rsidRPr="00407000" w:rsidRDefault="00F84F32" w:rsidP="00AD01FB"/>
    <w:p w:rsidR="00F84F32" w:rsidRPr="00407000" w:rsidRDefault="00F84F32" w:rsidP="00407000">
      <w:pPr>
        <w:ind w:firstLine="0"/>
        <w:rPr>
          <w:b/>
        </w:rPr>
      </w:pPr>
      <w:r w:rsidRPr="00407000">
        <w:rPr>
          <w:b/>
        </w:rPr>
        <w:t>Opatření 2.4.2 Rozvoj doplňkové infrastruktury pro kola, in-line, elektrokola</w:t>
      </w:r>
    </w:p>
    <w:p w:rsidR="00F84F32" w:rsidRPr="00407000" w:rsidRDefault="00F84F32" w:rsidP="00407000">
      <w:pPr>
        <w:ind w:firstLine="0"/>
        <w:rPr>
          <w:u w:val="single"/>
        </w:rPr>
      </w:pPr>
      <w:r w:rsidRPr="00407000">
        <w:rPr>
          <w:u w:val="single"/>
        </w:rPr>
        <w:t>Stav opatření:</w:t>
      </w:r>
    </w:p>
    <w:p w:rsidR="00F84F32" w:rsidRDefault="00F84F32" w:rsidP="00AD01FB">
      <w:pPr>
        <w:rPr>
          <w:b/>
        </w:rPr>
      </w:pPr>
      <w:r>
        <w:t>V roce 2020</w:t>
      </w:r>
      <w:r w:rsidRPr="00407000">
        <w:t xml:space="preserve"> mě</w:t>
      </w:r>
      <w:r>
        <w:t>sto Olomouc vybudovalo celkem 215</w:t>
      </w:r>
      <w:r w:rsidRPr="00407000">
        <w:t xml:space="preserve"> ks cyklostojanů</w:t>
      </w:r>
      <w:r>
        <w:rPr>
          <w:b/>
        </w:rPr>
        <w:t>.</w:t>
      </w:r>
    </w:p>
    <w:p w:rsidR="00F84F32" w:rsidRPr="00407000" w:rsidRDefault="00F84F32" w:rsidP="00AD01FB"/>
    <w:p w:rsidR="00F84F32" w:rsidRPr="00407000" w:rsidRDefault="00F84F32" w:rsidP="00407000">
      <w:pPr>
        <w:ind w:firstLine="0"/>
        <w:rPr>
          <w:b/>
        </w:rPr>
      </w:pPr>
      <w:r w:rsidRPr="00407000">
        <w:rPr>
          <w:b/>
        </w:rPr>
        <w:t>Opatření 2.4.3 Rozvoj bikesharingu ve městě</w:t>
      </w:r>
    </w:p>
    <w:p w:rsidR="00F84F32" w:rsidRPr="00407000" w:rsidRDefault="00F84F32" w:rsidP="00407000">
      <w:pPr>
        <w:ind w:firstLine="0"/>
        <w:rPr>
          <w:u w:val="single"/>
        </w:rPr>
      </w:pPr>
      <w:r w:rsidRPr="00407000">
        <w:rPr>
          <w:u w:val="single"/>
        </w:rPr>
        <w:t>Stav opatření:</w:t>
      </w:r>
    </w:p>
    <w:p w:rsidR="00F84F32" w:rsidRPr="002C447E" w:rsidRDefault="00F84F32" w:rsidP="00AD01FB">
      <w:pPr>
        <w:rPr>
          <w:u w:val="single"/>
        </w:rPr>
      </w:pPr>
      <w:r w:rsidRPr="002C447E">
        <w:t>V roce 2020 se v Olomouci rozšířila mikromobilita formou bikesharingu o další společnost, která nabízí sdílení kol</w:t>
      </w:r>
      <w:r>
        <w:t>,</w:t>
      </w:r>
      <w:r w:rsidRPr="002C447E">
        <w:t xml:space="preserve"> a to o Next Bike Czech republik, která realizovala cca 150 tis. jízd. Počet kol </w:t>
      </w:r>
      <w:r>
        <w:t xml:space="preserve">této společnosti </w:t>
      </w:r>
      <w:r w:rsidRPr="002C447E">
        <w:t xml:space="preserve">byl v Olomouci 300 ks. </w:t>
      </w:r>
    </w:p>
    <w:p w:rsidR="00F84F32" w:rsidRPr="002C447E" w:rsidRDefault="00F84F32" w:rsidP="00AD01FB">
      <w:pPr>
        <w:rPr>
          <w:u w:val="single"/>
        </w:rPr>
      </w:pPr>
      <w:r w:rsidRPr="002C447E">
        <w:t>Společnost Rekola Bikesharing svou nabídku nezměnila a v roce 2020 pro</w:t>
      </w:r>
      <w:r>
        <w:t>vozovala v Olomouci 120 ks kol s</w:t>
      </w:r>
      <w:r w:rsidRPr="002C447E">
        <w:t xml:space="preserve"> cca 60 tis. jízd</w:t>
      </w:r>
      <w:r>
        <w:t>ami</w:t>
      </w:r>
      <w:r w:rsidRPr="002C447E">
        <w:t>.</w:t>
      </w:r>
    </w:p>
    <w:p w:rsidR="00F84F32" w:rsidRPr="002C447E" w:rsidRDefault="00F84F32" w:rsidP="00AD01FB">
      <w:pPr>
        <w:rPr>
          <w:u w:val="single"/>
        </w:rPr>
      </w:pPr>
      <w:r w:rsidRPr="002C447E">
        <w:t xml:space="preserve">Navíc se v Olomouci objevily dvě společnosti nabízející elektrokoloběžky. Společnost BOLT </w:t>
      </w:r>
      <w:r>
        <w:t>provozuje</w:t>
      </w:r>
      <w:r w:rsidRPr="002C447E">
        <w:t xml:space="preserve"> 150</w:t>
      </w:r>
      <w:r>
        <w:rPr>
          <w:rFonts w:ascii="Arial" w:hAnsi="Arial" w:cs="Arial"/>
          <w:sz w:val="23"/>
          <w:szCs w:val="23"/>
          <w:shd w:val="clear" w:color="auto" w:fill="FFFFFF"/>
        </w:rPr>
        <w:t>-</w:t>
      </w:r>
      <w:r w:rsidRPr="002C447E">
        <w:t>200 elktrokoloběžek, s cca 40 tisíci jízdami a společnost EAGLE 80</w:t>
      </w:r>
      <w:r>
        <w:t> </w:t>
      </w:r>
      <w:r w:rsidRPr="002C447E">
        <w:t>el</w:t>
      </w:r>
      <w:r>
        <w:t>e</w:t>
      </w:r>
      <w:r w:rsidRPr="002C447E">
        <w:t xml:space="preserve">ktrokoloběžek s vyššími desítkami tisíc jízd. </w:t>
      </w:r>
    </w:p>
    <w:p w:rsidR="00F84F32" w:rsidRPr="00407000" w:rsidRDefault="00F84F32" w:rsidP="00407000">
      <w:pPr>
        <w:rPr>
          <w:b/>
        </w:rPr>
      </w:pPr>
    </w:p>
    <w:p w:rsidR="00F84F32" w:rsidRPr="00407000" w:rsidRDefault="00F84F32" w:rsidP="00407000">
      <w:pPr>
        <w:ind w:firstLine="0"/>
        <w:rPr>
          <w:b/>
        </w:rPr>
      </w:pPr>
      <w:r w:rsidRPr="00407000">
        <w:rPr>
          <w:b/>
        </w:rPr>
        <w:t>Opatření 2.4.4 Propojení centra a turistickými a rekreačními cíli na jeho okraji</w:t>
      </w:r>
    </w:p>
    <w:p w:rsidR="00F84F32" w:rsidRPr="00407000" w:rsidRDefault="00F84F32" w:rsidP="00407000">
      <w:pPr>
        <w:ind w:firstLine="0"/>
        <w:rPr>
          <w:u w:val="single"/>
        </w:rPr>
      </w:pPr>
      <w:r w:rsidRPr="00407000">
        <w:rPr>
          <w:u w:val="single"/>
        </w:rPr>
        <w:t>Stav opatření:</w:t>
      </w:r>
    </w:p>
    <w:p w:rsidR="00F84F32" w:rsidRPr="00407000" w:rsidRDefault="00F84F32" w:rsidP="00407000">
      <w:pPr>
        <w:rPr>
          <w:color w:val="000000"/>
        </w:rPr>
      </w:pPr>
      <w:r w:rsidRPr="00407000">
        <w:rPr>
          <w:color w:val="000000"/>
        </w:rPr>
        <w:t>Opatření nebylo v roce 20</w:t>
      </w:r>
      <w:r>
        <w:rPr>
          <w:color w:val="000000"/>
        </w:rPr>
        <w:t>20</w:t>
      </w:r>
      <w:r w:rsidRPr="00407000">
        <w:rPr>
          <w:color w:val="000000"/>
        </w:rPr>
        <w:t xml:space="preserve"> naplňováno.</w:t>
      </w:r>
    </w:p>
    <w:p w:rsidR="00F84F32" w:rsidRDefault="00F84F32" w:rsidP="00A70F90">
      <w:pPr>
        <w:ind w:firstLine="0"/>
      </w:pPr>
    </w:p>
    <w:p w:rsidR="00F84F32" w:rsidRPr="00407000" w:rsidRDefault="00F84F32" w:rsidP="00407000"/>
    <w:p w:rsidR="00F84F32" w:rsidRPr="00407000" w:rsidRDefault="00F84F32" w:rsidP="00407000">
      <w:pPr>
        <w:shd w:val="clear" w:color="auto" w:fill="FDE9D9"/>
        <w:ind w:firstLine="0"/>
        <w:rPr>
          <w:b/>
          <w:bCs/>
          <w:kern w:val="24"/>
        </w:rPr>
      </w:pPr>
      <w:r w:rsidRPr="00407000">
        <w:rPr>
          <w:b/>
          <w:bCs/>
          <w:kern w:val="24"/>
        </w:rPr>
        <w:t>2.5. Zvýšit využití potenciálu kulturního a duchovního dědictví</w:t>
      </w:r>
    </w:p>
    <w:p w:rsidR="00F84F32" w:rsidRPr="00407000" w:rsidRDefault="00F84F32" w:rsidP="00407000"/>
    <w:tbl>
      <w:tblPr>
        <w:tblW w:w="974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163"/>
        <w:gridCol w:w="1080"/>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0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126"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50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16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2C447E">
        <w:tc>
          <w:tcPr>
            <w:tcW w:w="560" w:type="dxa"/>
            <w:tcBorders>
              <w:bottom w:val="single" w:sz="12" w:space="0" w:color="000000"/>
            </w:tcBorders>
            <w:vAlign w:val="center"/>
          </w:tcPr>
          <w:p w:rsidR="00F84F32" w:rsidRPr="00407000" w:rsidRDefault="00F84F32" w:rsidP="00407000">
            <w:pPr>
              <w:ind w:firstLine="0"/>
              <w:jc w:val="center"/>
              <w:rPr>
                <w:color w:val="000000"/>
                <w:sz w:val="18"/>
                <w:szCs w:val="18"/>
              </w:rPr>
            </w:pPr>
            <w:r w:rsidRPr="00407000">
              <w:rPr>
                <w:color w:val="000000"/>
                <w:sz w:val="18"/>
                <w:szCs w:val="18"/>
              </w:rPr>
              <w:t>2.5</w:t>
            </w: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22.</w:t>
            </w:r>
          </w:p>
        </w:tc>
        <w:tc>
          <w:tcPr>
            <w:tcW w:w="2507"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 xml:space="preserve">Počet návštěvníků vybraných zařízení cestovního ruchu, kultury a sportu </w:t>
            </w:r>
            <w:r>
              <w:rPr>
                <w:rStyle w:val="Znakapoznpodarou"/>
                <w:sz w:val="18"/>
                <w:szCs w:val="18"/>
              </w:rPr>
              <w:footnoteReference w:id="24"/>
            </w:r>
          </w:p>
          <w:p w:rsidR="00F84F32" w:rsidRPr="00407000" w:rsidRDefault="00F84F32" w:rsidP="00407000">
            <w:pPr>
              <w:ind w:firstLine="0"/>
              <w:jc w:val="left"/>
              <w:rPr>
                <w:i/>
                <w:sz w:val="18"/>
                <w:szCs w:val="18"/>
              </w:rPr>
            </w:pPr>
            <w:r w:rsidRPr="00407000">
              <w:rPr>
                <w:i/>
                <w:sz w:val="18"/>
                <w:szCs w:val="18"/>
              </w:rPr>
              <w:lastRenderedPageBreak/>
              <w:t>– Indikátor shodný s cílem 2.2, indikátorem č. 17.</w:t>
            </w:r>
          </w:p>
        </w:tc>
        <w:tc>
          <w:tcPr>
            <w:tcW w:w="1706"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lastRenderedPageBreak/>
              <w:t>1 152 049</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1 335 000</w:t>
            </w:r>
          </w:p>
        </w:tc>
        <w:tc>
          <w:tcPr>
            <w:tcW w:w="116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w:t>
            </w:r>
            <w:r>
              <w:rPr>
                <w:rFonts w:eastAsia="MS Mincho"/>
                <w:spacing w:val="4"/>
                <w:sz w:val="18"/>
                <w:szCs w:val="18"/>
                <w:lang w:eastAsia="en-US"/>
              </w:rPr>
              <w:t> 061 828</w:t>
            </w:r>
          </w:p>
        </w:tc>
        <w:tc>
          <w:tcPr>
            <w:tcW w:w="928" w:type="dxa"/>
            <w:tcBorders>
              <w:bottom w:val="single" w:sz="12" w:space="0" w:color="000000"/>
            </w:tcBorders>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bl>
    <w:p w:rsidR="00F84F32" w:rsidRPr="00407000" w:rsidRDefault="00F84F32" w:rsidP="00407000"/>
    <w:p w:rsidR="00F84F32" w:rsidRPr="00407000" w:rsidRDefault="00F84F32" w:rsidP="00407000">
      <w:pPr>
        <w:pStyle w:val="Odstavecseseznamem"/>
        <w:tabs>
          <w:tab w:val="left" w:pos="626"/>
        </w:tabs>
        <w:ind w:left="626" w:hanging="647"/>
        <w:textAlignment w:val="baseline"/>
        <w:rPr>
          <w:rFonts w:ascii="Times New Roman" w:hAnsi="Times New Roman"/>
          <w:b/>
          <w:kern w:val="24"/>
        </w:rPr>
      </w:pPr>
      <w:r w:rsidRPr="00407000">
        <w:rPr>
          <w:rFonts w:ascii="Times New Roman" w:hAnsi="Times New Roman"/>
          <w:b/>
        </w:rPr>
        <w:t>Opatření</w:t>
      </w:r>
      <w:r w:rsidRPr="00407000">
        <w:rPr>
          <w:rFonts w:ascii="Times New Roman" w:hAnsi="Times New Roman"/>
          <w:b/>
          <w:kern w:val="24"/>
        </w:rPr>
        <w:t xml:space="preserve"> 2.5.1 Podpora vyvážené multifunkčnosti centra </w:t>
      </w:r>
    </w:p>
    <w:p w:rsidR="00F84F32" w:rsidRPr="00B25F5D" w:rsidRDefault="00F84F32" w:rsidP="00B25F5D">
      <w:pPr>
        <w:ind w:firstLine="0"/>
        <w:rPr>
          <w:u w:val="single"/>
        </w:rPr>
      </w:pPr>
      <w:r>
        <w:rPr>
          <w:u w:val="single"/>
        </w:rPr>
        <w:t>Stav opatření:</w:t>
      </w:r>
    </w:p>
    <w:p w:rsidR="00F84F32" w:rsidRPr="00407000" w:rsidRDefault="00F84F32" w:rsidP="00407000">
      <w:r w:rsidRPr="005A2EA0">
        <w:t>V roce 2020 byla multifukční</w:t>
      </w:r>
      <w:r w:rsidRPr="002C447E">
        <w:t xml:space="preserve"> podpora</w:t>
      </w:r>
      <w:r w:rsidRPr="00413412">
        <w:t xml:space="preserve"> centra v</w:t>
      </w:r>
      <w:r w:rsidRPr="002C447E">
        <w:t xml:space="preserve"> </w:t>
      </w:r>
      <w:r w:rsidRPr="00B25F5D">
        <w:t>daleko</w:t>
      </w:r>
      <w:r w:rsidRPr="002C447E">
        <w:t xml:space="preserve"> menší míře než v minulých letech, a to z </w:t>
      </w:r>
      <w:r w:rsidRPr="00413412">
        <w:t>důvodu</w:t>
      </w:r>
      <w:r w:rsidRPr="002C447E">
        <w:t xml:space="preserve"> </w:t>
      </w:r>
      <w:r>
        <w:t>pandemie Covid-19</w:t>
      </w:r>
      <w:r w:rsidRPr="002C447E">
        <w:t>. V centru se konal omezený počet kulturních akcí, těmi byly např. multižánrový hudební festival Pohoda U Trojice či Národní zahájení Dnů evropského dědictví. Další velké akce jako Olomoucký ½ marat</w:t>
      </w:r>
      <w:r>
        <w:t>ó</w:t>
      </w:r>
      <w:r w:rsidRPr="002C447E">
        <w:t>n či Olomoucký tvarůžkový festival nebyly realizovány.</w:t>
      </w:r>
    </w:p>
    <w:p w:rsidR="00F84F32" w:rsidRPr="00407000" w:rsidRDefault="00F84F32" w:rsidP="00407000"/>
    <w:p w:rsidR="00F84F32" w:rsidRPr="00407000" w:rsidRDefault="00F84F32" w:rsidP="00407000">
      <w:pPr>
        <w:pStyle w:val="Odstavecseseznamem"/>
        <w:tabs>
          <w:tab w:val="left" w:pos="626"/>
        </w:tabs>
        <w:ind w:left="626" w:hanging="647"/>
        <w:textAlignment w:val="baseline"/>
        <w:rPr>
          <w:rFonts w:ascii="Times New Roman" w:hAnsi="Times New Roman"/>
          <w:b/>
          <w:kern w:val="24"/>
        </w:rPr>
      </w:pPr>
      <w:r w:rsidRPr="00407000">
        <w:rPr>
          <w:rFonts w:ascii="Times New Roman" w:hAnsi="Times New Roman"/>
          <w:b/>
        </w:rPr>
        <w:t>Opatření</w:t>
      </w:r>
      <w:r w:rsidRPr="00407000">
        <w:rPr>
          <w:rFonts w:ascii="Times New Roman" w:hAnsi="Times New Roman"/>
          <w:b/>
          <w:kern w:val="24"/>
        </w:rPr>
        <w:t xml:space="preserve"> 2.5.2 Posilování atmosféry živoucího města</w:t>
      </w:r>
    </w:p>
    <w:p w:rsidR="00F84F32" w:rsidRPr="00B25F5D" w:rsidRDefault="00F84F32" w:rsidP="00B25F5D">
      <w:pPr>
        <w:ind w:firstLine="0"/>
        <w:rPr>
          <w:u w:val="single"/>
        </w:rPr>
      </w:pPr>
      <w:r>
        <w:rPr>
          <w:u w:val="single"/>
        </w:rPr>
        <w:t>Stav opatření:</w:t>
      </w:r>
    </w:p>
    <w:p w:rsidR="00F84F32" w:rsidRDefault="00F84F32" w:rsidP="00AD01FB">
      <w:r w:rsidRPr="00CE287E">
        <w:t>V roce 2020 byla</w:t>
      </w:r>
      <w:r w:rsidRPr="002C447E">
        <w:t xml:space="preserve"> z rozpočtu města podpořena po dobu letní sezony květinová </w:t>
      </w:r>
      <w:r w:rsidRPr="00CE287E">
        <w:t>výzdoba centra ve výši 2</w:t>
      </w:r>
      <w:r>
        <w:t xml:space="preserve"> mil.</w:t>
      </w:r>
      <w:r w:rsidRPr="002C447E">
        <w:t xml:space="preserve"> Kč. Podpora ostatních možností byla v roce 2020 velmi omezena z důvodu </w:t>
      </w:r>
      <w:r>
        <w:t>pandemie Covid-19</w:t>
      </w:r>
      <w:r w:rsidRPr="002C447E">
        <w:t>. V letní sezon</w:t>
      </w:r>
      <w:r>
        <w:t>ě</w:t>
      </w:r>
      <w:r w:rsidRPr="002C447E">
        <w:t xml:space="preserve"> proběhl pouze festival Pohoda U Trojice či</w:t>
      </w:r>
      <w:r>
        <w:t> </w:t>
      </w:r>
      <w:r w:rsidRPr="002C447E">
        <w:t>Národní zahájení Dnů evropského dědictví</w:t>
      </w:r>
      <w:r>
        <w:t>, v</w:t>
      </w:r>
      <w:r w:rsidRPr="002C447E">
        <w:t> zimě pak v omezené míře Vánoční trhy.</w:t>
      </w:r>
      <w:r>
        <w:t xml:space="preserve"> </w:t>
      </w:r>
    </w:p>
    <w:p w:rsidR="00F84F32" w:rsidRDefault="00F84F32" w:rsidP="00AD01FB"/>
    <w:p w:rsidR="00F84F32" w:rsidRDefault="00F84F32" w:rsidP="00AD01FB"/>
    <w:p w:rsidR="00F84F32" w:rsidRDefault="00F84F32" w:rsidP="00A21A80">
      <w:pPr>
        <w:pStyle w:val="Nadpis1"/>
        <w:keepNext/>
        <w:widowControl/>
        <w:numPr>
          <w:ilvl w:val="0"/>
          <w:numId w:val="18"/>
        </w:numPr>
        <w:shd w:val="clear" w:color="auto" w:fill="769223"/>
        <w:tabs>
          <w:tab w:val="clear" w:pos="720"/>
        </w:tabs>
        <w:ind w:left="567" w:hanging="567"/>
        <w:jc w:val="left"/>
        <w:rPr>
          <w:color w:val="FFFFFF"/>
          <w:sz w:val="28"/>
        </w:rPr>
      </w:pPr>
      <w:bookmarkStart w:id="16" w:name="_Toc15637086"/>
      <w:bookmarkStart w:id="17" w:name="_Toc45699132"/>
      <w:r>
        <w:rPr>
          <w:color w:val="FFFFFF"/>
          <w:sz w:val="28"/>
        </w:rPr>
        <w:t>P</w:t>
      </w:r>
      <w:r w:rsidRPr="00407000">
        <w:rPr>
          <w:color w:val="FFFFFF"/>
          <w:sz w:val="28"/>
        </w:rPr>
        <w:t xml:space="preserve">ilíř 3: </w:t>
      </w:r>
      <w:r w:rsidRPr="00407000">
        <w:rPr>
          <w:color w:val="FFFFFF"/>
          <w:sz w:val="28"/>
          <w:szCs w:val="28"/>
        </w:rPr>
        <w:t>Udržitelná Olomouc</w:t>
      </w:r>
      <w:bookmarkEnd w:id="16"/>
      <w:bookmarkEnd w:id="17"/>
    </w:p>
    <w:p w:rsidR="00F84F32" w:rsidRPr="00407000" w:rsidRDefault="00F84F32" w:rsidP="00407000"/>
    <w:p w:rsidR="00F84F32" w:rsidRPr="00407000" w:rsidRDefault="00F84F32" w:rsidP="00407000"/>
    <w:p w:rsidR="00F84F32" w:rsidRPr="00266020" w:rsidRDefault="00F84F32" w:rsidP="00407000">
      <w:pPr>
        <w:shd w:val="clear" w:color="auto" w:fill="EAF1DD"/>
        <w:ind w:firstLine="0"/>
        <w:rPr>
          <w:b/>
          <w:color w:val="000000"/>
        </w:rPr>
      </w:pPr>
      <w:r w:rsidRPr="00266020">
        <w:rPr>
          <w:b/>
          <w:color w:val="000000"/>
        </w:rPr>
        <w:t xml:space="preserve">Cíl 3.1 Zajistit udržitelnost dopravy ve městě ve všech formách včetně řešení parkování </w:t>
      </w:r>
    </w:p>
    <w:p w:rsidR="00F84F32" w:rsidRPr="00407000" w:rsidRDefault="00F84F32" w:rsidP="00407000"/>
    <w:tbl>
      <w:tblPr>
        <w:tblW w:w="938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233"/>
        <w:gridCol w:w="1620"/>
        <w:gridCol w:w="1177"/>
        <w:gridCol w:w="1163"/>
        <w:gridCol w:w="1080"/>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23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040"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233"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62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16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B96A10">
        <w:tc>
          <w:tcPr>
            <w:tcW w:w="560" w:type="dxa"/>
            <w:tcBorders>
              <w:bottom w:val="single" w:sz="12" w:space="0" w:color="000000"/>
            </w:tcBorders>
            <w:vAlign w:val="center"/>
          </w:tcPr>
          <w:p w:rsidR="00F84F32" w:rsidRPr="00407000" w:rsidRDefault="00F84F32" w:rsidP="00407000">
            <w:pPr>
              <w:ind w:firstLine="0"/>
              <w:jc w:val="center"/>
              <w:rPr>
                <w:color w:val="000000"/>
                <w:sz w:val="18"/>
                <w:szCs w:val="18"/>
              </w:rPr>
            </w:pPr>
            <w:r w:rsidRPr="00407000">
              <w:rPr>
                <w:color w:val="000000"/>
                <w:sz w:val="18"/>
                <w:szCs w:val="18"/>
              </w:rPr>
              <w:t>3.1</w:t>
            </w: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w:t>
            </w:r>
          </w:p>
        </w:tc>
        <w:tc>
          <w:tcPr>
            <w:tcW w:w="8201" w:type="dxa"/>
            <w:gridSpan w:val="6"/>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 xml:space="preserve">Indikátory budou sledovány a vyhodnocovány v rámci Plánu udržitelné městské mobility Olomouc, v němž jsou stanoveny. </w:t>
            </w:r>
          </w:p>
        </w:tc>
      </w:tr>
    </w:tbl>
    <w:p w:rsidR="00F84F32" w:rsidRPr="00407000" w:rsidRDefault="00F84F32" w:rsidP="00407000"/>
    <w:p w:rsidR="00F84F32" w:rsidRPr="00407000" w:rsidRDefault="00F84F32" w:rsidP="00407000">
      <w:pPr>
        <w:ind w:firstLine="0"/>
        <w:rPr>
          <w:b/>
        </w:rPr>
      </w:pPr>
      <w:r w:rsidRPr="00407000">
        <w:rPr>
          <w:b/>
        </w:rPr>
        <w:t xml:space="preserve">Opatření 3.1.1 Vytvoření „mobility managementu“ </w:t>
      </w:r>
    </w:p>
    <w:p w:rsidR="00F84F32" w:rsidRPr="00407000" w:rsidRDefault="00F84F32" w:rsidP="00407000">
      <w:pPr>
        <w:ind w:firstLine="0"/>
        <w:rPr>
          <w:u w:val="single"/>
        </w:rPr>
      </w:pPr>
      <w:r w:rsidRPr="00407000">
        <w:rPr>
          <w:u w:val="single"/>
        </w:rPr>
        <w:t>Stav opatření:</w:t>
      </w:r>
    </w:p>
    <w:p w:rsidR="00F84F32" w:rsidRPr="006318B8" w:rsidRDefault="00F84F32" w:rsidP="002C447E">
      <w:pPr>
        <w:contextualSpacing/>
      </w:pPr>
      <w:r w:rsidRPr="00D76E56">
        <w:t xml:space="preserve">V oblasti mobility managementu byly v roce 2020 vykonány nebo zahájeny následující aktivity: projekt </w:t>
      </w:r>
      <w:r w:rsidRPr="00462992">
        <w:t>„Bezpečná cesta do školy“, Školní plán mobility ZŠ Nedvědova, Plán mobility MM</w:t>
      </w:r>
      <w:r w:rsidRPr="00474FA3">
        <w:t>Ol, Parkovací politika, Plán dopravní obslužnosti a aktualizace modelu dopravy.</w:t>
      </w:r>
    </w:p>
    <w:p w:rsidR="00F84F32" w:rsidRPr="00407000" w:rsidRDefault="00F84F32" w:rsidP="00407000">
      <w:pPr>
        <w:rPr>
          <w:u w:val="single"/>
        </w:rPr>
      </w:pPr>
    </w:p>
    <w:p w:rsidR="00F84F32" w:rsidRPr="00407000" w:rsidRDefault="00F84F32" w:rsidP="00407000">
      <w:pPr>
        <w:ind w:firstLine="0"/>
        <w:rPr>
          <w:b/>
        </w:rPr>
      </w:pPr>
      <w:r w:rsidRPr="00407000">
        <w:rPr>
          <w:b/>
        </w:rPr>
        <w:t xml:space="preserve">Opatření 3.1.2 Podpora udržitelných forem dopravy (MHD, pěší a cyklodopravy) </w:t>
      </w:r>
    </w:p>
    <w:p w:rsidR="00F84F32" w:rsidRPr="00B25F5D" w:rsidRDefault="00F84F32" w:rsidP="00B25F5D">
      <w:pPr>
        <w:ind w:firstLine="0"/>
        <w:rPr>
          <w:u w:val="single"/>
        </w:rPr>
      </w:pPr>
      <w:r>
        <w:rPr>
          <w:u w:val="single"/>
        </w:rPr>
        <w:t>Stav opatření:</w:t>
      </w:r>
    </w:p>
    <w:p w:rsidR="00F84F32" w:rsidRDefault="00F84F32" w:rsidP="00407000">
      <w:r>
        <w:t xml:space="preserve">Na základě vyhledávací studie vhodné lokality pro umístění nového areálu DPMO, bylo v únoru 2020 vybráno nejvhodnější místo pro stavbu tramvajového a autobusového depa, a to bývalý areál kasáren v Neředíně. </w:t>
      </w:r>
    </w:p>
    <w:p w:rsidR="00F84F32" w:rsidRDefault="00F84F32" w:rsidP="00407000">
      <w:r>
        <w:t xml:space="preserve">Na podzim roku 2020 bylo zahájeno výběrové řízení na zhotovitele stavby </w:t>
      </w:r>
      <w:r>
        <w:br/>
        <w:t>2. etapy tramvajové trati Povel-Nové Sady, jejíž realizace bude zahájena v březnu roku 2021.</w:t>
      </w:r>
    </w:p>
    <w:p w:rsidR="00F84F32" w:rsidRPr="00407000" w:rsidRDefault="00F84F32" w:rsidP="00A70F90">
      <w:r w:rsidRPr="007C4C72">
        <w:t>Realizované aktivity vztahující se k podpoře pěší a cyklistické dopravy jsou blíže popsány v opatření 2.4.1.</w:t>
      </w:r>
      <w:r w:rsidRPr="00407000">
        <w:t xml:space="preserve"> </w:t>
      </w:r>
    </w:p>
    <w:p w:rsidR="00F84F32" w:rsidRPr="00407000" w:rsidRDefault="00F84F32" w:rsidP="00407000">
      <w:pPr>
        <w:ind w:firstLine="0"/>
      </w:pPr>
      <w:r w:rsidRPr="00407000">
        <w:rPr>
          <w:b/>
        </w:rPr>
        <w:lastRenderedPageBreak/>
        <w:t>Opatření 3.1.3 Optimalizace parkování v centru, v problémových sídlištích i ve vazbě na přestupní terminály</w:t>
      </w:r>
    </w:p>
    <w:p w:rsidR="00F84F32" w:rsidRPr="00407000" w:rsidRDefault="00F84F32" w:rsidP="00407000">
      <w:pPr>
        <w:ind w:firstLine="0"/>
        <w:rPr>
          <w:u w:val="single"/>
        </w:rPr>
      </w:pPr>
      <w:r w:rsidRPr="00407000">
        <w:rPr>
          <w:u w:val="single"/>
        </w:rPr>
        <w:t>Stav opatření:</w:t>
      </w:r>
    </w:p>
    <w:p w:rsidR="00F84F32" w:rsidRDefault="00F84F32" w:rsidP="00AD18DB">
      <w:r>
        <w:t>V roce 2020 bylo zahájeno pořízení nové parkovací politiky, kdy byla zpracována analytická část a rozpracována návrhová část, vč. prvního veřejného projednání.</w:t>
      </w:r>
    </w:p>
    <w:p w:rsidR="00F84F32" w:rsidRPr="00934452" w:rsidRDefault="00F84F32" w:rsidP="00407000">
      <w:r w:rsidRPr="00934452">
        <w:t>V ulici U Stadionu</w:t>
      </w:r>
      <w:r>
        <w:t xml:space="preserve"> město nově vybudovalo 20 parkovacích míst.</w:t>
      </w:r>
    </w:p>
    <w:p w:rsidR="00F84F32" w:rsidRPr="00407000" w:rsidRDefault="00F84F32" w:rsidP="00407000">
      <w:pPr>
        <w:rPr>
          <w:b/>
        </w:rPr>
      </w:pPr>
    </w:p>
    <w:p w:rsidR="00F84F32" w:rsidRPr="00407000" w:rsidRDefault="00F84F32" w:rsidP="00407000">
      <w:pPr>
        <w:ind w:firstLine="0"/>
        <w:rPr>
          <w:b/>
        </w:rPr>
      </w:pPr>
      <w:r w:rsidRPr="00407000">
        <w:rPr>
          <w:b/>
        </w:rPr>
        <w:t>Opatření 3.1.4 Zlepšení průjezdnosti městem a dostupnosti bodů zájmu</w:t>
      </w:r>
    </w:p>
    <w:p w:rsidR="00F84F32" w:rsidRPr="00407000" w:rsidRDefault="00F84F32" w:rsidP="00407000">
      <w:pPr>
        <w:ind w:firstLine="0"/>
        <w:rPr>
          <w:u w:val="single"/>
        </w:rPr>
      </w:pPr>
      <w:r w:rsidRPr="00407000">
        <w:rPr>
          <w:u w:val="single"/>
        </w:rPr>
        <w:t>Stav opatření:</w:t>
      </w:r>
    </w:p>
    <w:p w:rsidR="00F84F32" w:rsidRDefault="00F84F32" w:rsidP="00407000">
      <w:r>
        <w:t>V návaznosti na vybudování nové dopravní ústředny byla v roce 2020 zahájena investiční akce „Foerstrova – koordinovaný tah“, čímž dojde ke zlepšení průjezdnosti na průtahu silnice I/35.</w:t>
      </w:r>
    </w:p>
    <w:p w:rsidR="00F84F32" w:rsidRPr="00407000" w:rsidRDefault="00F84F32" w:rsidP="00407000"/>
    <w:p w:rsidR="00F84F32" w:rsidRPr="00407000" w:rsidRDefault="00F84F32" w:rsidP="00407000">
      <w:pPr>
        <w:ind w:firstLine="0"/>
        <w:rPr>
          <w:b/>
        </w:rPr>
      </w:pPr>
      <w:r w:rsidRPr="00407000">
        <w:rPr>
          <w:b/>
        </w:rPr>
        <w:t>Opatření 3.1.5 Podpora ekologických pohonů a sdílené ekonomiky</w:t>
      </w:r>
    </w:p>
    <w:p w:rsidR="00F84F32" w:rsidRPr="00407000" w:rsidRDefault="00F84F32" w:rsidP="00407000">
      <w:pPr>
        <w:ind w:firstLine="0"/>
        <w:rPr>
          <w:u w:val="single"/>
        </w:rPr>
      </w:pPr>
      <w:r w:rsidRPr="00407000">
        <w:rPr>
          <w:u w:val="single"/>
        </w:rPr>
        <w:t>Stav opatření:</w:t>
      </w:r>
    </w:p>
    <w:p w:rsidR="00F84F32" w:rsidRPr="00A95BB3" w:rsidRDefault="00F84F32" w:rsidP="00AD01FB">
      <w:r w:rsidRPr="00F56119">
        <w:t>Městská policie v roce 2020 disponovala třemi elektroautomobily a DPMO jedním elektrobusem.</w:t>
      </w:r>
      <w:r>
        <w:t xml:space="preserve"> V červnu 2020 byl také pořízen elektromobil Škoda Citigo pro primátora města Olomouce. Rozvoj dalších forem elektromobility je uveden v rámci </w:t>
      </w:r>
      <w:r w:rsidRPr="00A95BB3">
        <w:t>Opatření 2.4.3</w:t>
      </w:r>
      <w:r>
        <w:t>.</w:t>
      </w:r>
    </w:p>
    <w:p w:rsidR="00F84F32" w:rsidRPr="00407000" w:rsidRDefault="00F84F32" w:rsidP="00AD01FB"/>
    <w:p w:rsidR="00F84F32" w:rsidRPr="00407000" w:rsidRDefault="00F84F32" w:rsidP="00407000">
      <w:pPr>
        <w:ind w:firstLine="0"/>
        <w:rPr>
          <w:b/>
        </w:rPr>
      </w:pPr>
      <w:r w:rsidRPr="00407000">
        <w:rPr>
          <w:b/>
        </w:rPr>
        <w:t xml:space="preserve">Opatření 3.1.6 Vybudování systému P&amp;R parkovišť </w:t>
      </w:r>
    </w:p>
    <w:p w:rsidR="00F84F32" w:rsidRPr="00407000" w:rsidRDefault="00F84F32" w:rsidP="00407000">
      <w:pPr>
        <w:ind w:firstLine="0"/>
        <w:rPr>
          <w:u w:val="single"/>
        </w:rPr>
      </w:pPr>
      <w:r w:rsidRPr="00407000">
        <w:rPr>
          <w:u w:val="single"/>
        </w:rPr>
        <w:t>Stav opatření:</w:t>
      </w:r>
    </w:p>
    <w:p w:rsidR="00F84F32" w:rsidRDefault="00F84F32" w:rsidP="00C53F16">
      <w:r w:rsidRPr="00407000">
        <w:t>Opatření nebylo v roce 20</w:t>
      </w:r>
      <w:r>
        <w:t>20</w:t>
      </w:r>
      <w:r w:rsidRPr="00407000">
        <w:t xml:space="preserve"> naplňováno.</w:t>
      </w:r>
    </w:p>
    <w:p w:rsidR="00F84F32" w:rsidRDefault="00F84F32" w:rsidP="00C53F16"/>
    <w:p w:rsidR="00F84F32" w:rsidRPr="00407000" w:rsidRDefault="00F84F32" w:rsidP="00407000">
      <w:pPr>
        <w:ind w:firstLine="0"/>
        <w:rPr>
          <w:b/>
        </w:rPr>
      </w:pPr>
      <w:r w:rsidRPr="00407000">
        <w:rPr>
          <w:b/>
        </w:rPr>
        <w:t xml:space="preserve">Opatření 3.1.7 Realizace, průběžná aktualizace a naplňování Plánu údržby a oprav </w:t>
      </w:r>
    </w:p>
    <w:p w:rsidR="00F84F32" w:rsidRPr="00407000" w:rsidRDefault="00F84F32" w:rsidP="00407000">
      <w:pPr>
        <w:ind w:firstLine="0"/>
        <w:rPr>
          <w:u w:val="single"/>
        </w:rPr>
      </w:pPr>
      <w:r w:rsidRPr="00407000">
        <w:rPr>
          <w:u w:val="single"/>
        </w:rPr>
        <w:t>Stav opatření:</w:t>
      </w:r>
    </w:p>
    <w:p w:rsidR="00F84F32" w:rsidRPr="00407000" w:rsidRDefault="00F84F32" w:rsidP="00407000">
      <w:r w:rsidRPr="00407000">
        <w:t>Plán údržby a oprav je naplňován každoročně, průběžně dochází k jeho aktualizaci.</w:t>
      </w:r>
      <w:r>
        <w:t xml:space="preserve"> V roce 2020 bylo na základě smlouvy s TSMO, a. s. na zimní údržbu vyčleněno 17,0 mil. Kč a na záchovnou údržbu 40,0 mil. Kč. Z rozpočtu ODÚR bylo vyčleněno na velké opravy 45,9 mil. Kč. Celková částka na opravy komunikací činila 86,0 mil. Kč.</w:t>
      </w:r>
    </w:p>
    <w:p w:rsidR="00F84F32" w:rsidRDefault="00F84F32" w:rsidP="00AD01FB"/>
    <w:p w:rsidR="00F84F32" w:rsidRPr="00407000" w:rsidRDefault="00F84F32" w:rsidP="00AD01FB"/>
    <w:p w:rsidR="00F84F32" w:rsidRPr="003C7322" w:rsidRDefault="00F84F32" w:rsidP="00407000">
      <w:pPr>
        <w:shd w:val="clear" w:color="auto" w:fill="EAF1DD"/>
        <w:ind w:firstLine="0"/>
        <w:rPr>
          <w:b/>
          <w:color w:val="000000"/>
        </w:rPr>
      </w:pPr>
      <w:r w:rsidRPr="003C7322">
        <w:rPr>
          <w:b/>
          <w:color w:val="000000"/>
        </w:rPr>
        <w:t xml:space="preserve">Cíl 3.2 Zlepšit bezpečnost dopravy a bezbariérovost ve městě </w:t>
      </w:r>
    </w:p>
    <w:p w:rsidR="00F84F32" w:rsidRPr="00407000" w:rsidRDefault="00F84F32" w:rsidP="00407000"/>
    <w:tbl>
      <w:tblPr>
        <w:tblW w:w="9676"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93"/>
        <w:gridCol w:w="1620"/>
        <w:gridCol w:w="1260"/>
        <w:gridCol w:w="1080"/>
        <w:gridCol w:w="1080"/>
        <w:gridCol w:w="856"/>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9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040"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856"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593"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62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26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856"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B96A10">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3.2</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23.</w:t>
            </w:r>
          </w:p>
        </w:tc>
        <w:tc>
          <w:tcPr>
            <w:tcW w:w="2593" w:type="dxa"/>
            <w:vAlign w:val="center"/>
          </w:tcPr>
          <w:p w:rsidR="00F84F32" w:rsidRPr="00407000" w:rsidRDefault="00F84F32" w:rsidP="00407000">
            <w:pPr>
              <w:ind w:firstLine="0"/>
              <w:jc w:val="left"/>
              <w:rPr>
                <w:sz w:val="18"/>
                <w:szCs w:val="18"/>
              </w:rPr>
            </w:pPr>
            <w:r w:rsidRPr="00407000">
              <w:rPr>
                <w:sz w:val="18"/>
                <w:szCs w:val="18"/>
              </w:rPr>
              <w:t>Délka rekonstruovaných místních komunikací za účelem zlepšení bezbariérovosti a bezpečnosti (km)</w:t>
            </w:r>
          </w:p>
        </w:tc>
        <w:tc>
          <w:tcPr>
            <w:tcW w:w="162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26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7,00</w:t>
            </w:r>
          </w:p>
        </w:tc>
        <w:tc>
          <w:tcPr>
            <w:tcW w:w="1080" w:type="dxa"/>
            <w:vAlign w:val="center"/>
          </w:tcPr>
          <w:p w:rsidR="00F84F32" w:rsidRPr="00407000" w:rsidRDefault="00F84F32" w:rsidP="00407000">
            <w:pPr>
              <w:widowControl/>
              <w:ind w:firstLine="0"/>
              <w:jc w:val="center"/>
              <w:rPr>
                <w:color w:val="000000"/>
                <w:sz w:val="18"/>
                <w:szCs w:val="18"/>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color w:val="000000"/>
                <w:sz w:val="18"/>
                <w:szCs w:val="18"/>
              </w:rPr>
            </w:pPr>
            <w:r w:rsidRPr="00407000">
              <w:rPr>
                <w:color w:val="000000"/>
                <w:sz w:val="18"/>
                <w:szCs w:val="18"/>
              </w:rPr>
              <w:t>3,</w:t>
            </w:r>
            <w:r>
              <w:rPr>
                <w:color w:val="000000"/>
                <w:sz w:val="18"/>
                <w:szCs w:val="18"/>
              </w:rPr>
              <w:t>91</w:t>
            </w:r>
          </w:p>
        </w:tc>
        <w:tc>
          <w:tcPr>
            <w:tcW w:w="856" w:type="dxa"/>
            <w:shd w:val="clear" w:color="auto" w:fill="99CC00"/>
            <w:vAlign w:val="center"/>
          </w:tcPr>
          <w:p w:rsidR="00F84F32" w:rsidRPr="00407000" w:rsidRDefault="00F84F32" w:rsidP="00407000">
            <w:pPr>
              <w:widowControl/>
              <w:ind w:firstLine="0"/>
              <w:jc w:val="center"/>
              <w:rPr>
                <w:sz w:val="16"/>
                <w:szCs w:val="16"/>
              </w:rPr>
            </w:pPr>
            <w:r w:rsidRPr="00407000">
              <w:rPr>
                <w:sz w:val="32"/>
                <w:szCs w:val="32"/>
              </w:rPr>
              <w:sym w:font="Wingdings" w:char="F04A"/>
            </w:r>
          </w:p>
        </w:tc>
      </w:tr>
      <w:tr w:rsidR="00F84F32" w:rsidRPr="00407000" w:rsidTr="00B96A10">
        <w:tc>
          <w:tcPr>
            <w:tcW w:w="560" w:type="dxa"/>
            <w:vMerge/>
            <w:vAlign w:val="center"/>
          </w:tcPr>
          <w:p w:rsidR="00F84F32" w:rsidRPr="00407000" w:rsidRDefault="00F84F32" w:rsidP="00407000">
            <w:pPr>
              <w:widowControl/>
              <w:ind w:firstLine="0"/>
              <w:jc w:val="left"/>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24.</w:t>
            </w:r>
          </w:p>
        </w:tc>
        <w:tc>
          <w:tcPr>
            <w:tcW w:w="2593" w:type="dxa"/>
            <w:vAlign w:val="center"/>
          </w:tcPr>
          <w:p w:rsidR="00F84F32" w:rsidRPr="00407000" w:rsidRDefault="00F84F32" w:rsidP="00407000">
            <w:pPr>
              <w:ind w:firstLine="0"/>
              <w:jc w:val="left"/>
              <w:rPr>
                <w:sz w:val="18"/>
                <w:szCs w:val="18"/>
              </w:rPr>
            </w:pPr>
            <w:r w:rsidRPr="00407000">
              <w:rPr>
                <w:sz w:val="18"/>
                <w:szCs w:val="18"/>
              </w:rPr>
              <w:t>Počet odstraněných bariér ve městě (počet, kumulovaný)</w:t>
            </w:r>
          </w:p>
        </w:tc>
        <w:tc>
          <w:tcPr>
            <w:tcW w:w="1620" w:type="dxa"/>
            <w:vAlign w:val="center"/>
          </w:tcPr>
          <w:p w:rsidR="00F84F32" w:rsidRPr="00407000" w:rsidRDefault="00F84F32" w:rsidP="00407000">
            <w:pPr>
              <w:widowControl/>
              <w:ind w:firstLine="0"/>
              <w:jc w:val="center"/>
              <w:rPr>
                <w:sz w:val="18"/>
                <w:szCs w:val="18"/>
              </w:rPr>
            </w:pPr>
            <w:r w:rsidRPr="00407000">
              <w:rPr>
                <w:sz w:val="18"/>
                <w:szCs w:val="18"/>
              </w:rPr>
              <w:t>0</w:t>
            </w:r>
          </w:p>
        </w:tc>
        <w:tc>
          <w:tcPr>
            <w:tcW w:w="1260" w:type="dxa"/>
            <w:vAlign w:val="center"/>
          </w:tcPr>
          <w:p w:rsidR="00F84F32" w:rsidRPr="00407000" w:rsidRDefault="00F84F32" w:rsidP="00407000">
            <w:pPr>
              <w:widowControl/>
              <w:ind w:firstLine="0"/>
              <w:jc w:val="center"/>
              <w:rPr>
                <w:sz w:val="18"/>
                <w:szCs w:val="18"/>
              </w:rPr>
            </w:pPr>
            <w:r w:rsidRPr="00407000">
              <w:rPr>
                <w:sz w:val="18"/>
                <w:szCs w:val="18"/>
              </w:rPr>
              <w:t>70</w:t>
            </w:r>
          </w:p>
        </w:tc>
        <w:tc>
          <w:tcPr>
            <w:tcW w:w="1080" w:type="dxa"/>
            <w:vAlign w:val="center"/>
          </w:tcPr>
          <w:p w:rsidR="00F84F32" w:rsidRPr="00407000" w:rsidRDefault="00F84F32" w:rsidP="00407000">
            <w:pPr>
              <w:widowControl/>
              <w:ind w:firstLine="0"/>
              <w:jc w:val="center"/>
              <w:rPr>
                <w:sz w:val="18"/>
                <w:szCs w:val="18"/>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sz w:val="18"/>
                <w:szCs w:val="18"/>
              </w:rPr>
            </w:pPr>
            <w:r>
              <w:rPr>
                <w:sz w:val="18"/>
                <w:szCs w:val="18"/>
              </w:rPr>
              <w:t>146</w:t>
            </w:r>
          </w:p>
        </w:tc>
        <w:tc>
          <w:tcPr>
            <w:tcW w:w="856" w:type="dxa"/>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A33795">
        <w:trPr>
          <w:trHeight w:val="352"/>
        </w:trPr>
        <w:tc>
          <w:tcPr>
            <w:tcW w:w="560" w:type="dxa"/>
            <w:vMerge/>
            <w:vAlign w:val="center"/>
          </w:tcPr>
          <w:p w:rsidR="00F84F32" w:rsidRPr="00407000" w:rsidRDefault="00F84F32" w:rsidP="00407000">
            <w:pPr>
              <w:widowControl/>
              <w:ind w:firstLine="0"/>
              <w:jc w:val="left"/>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25.</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vybudovaných bezpečnostních opatření </w:t>
            </w:r>
          </w:p>
        </w:tc>
        <w:tc>
          <w:tcPr>
            <w:tcW w:w="1620" w:type="dxa"/>
            <w:vAlign w:val="center"/>
          </w:tcPr>
          <w:p w:rsidR="00F84F32" w:rsidRPr="00407000" w:rsidRDefault="00F84F32" w:rsidP="00407000">
            <w:pPr>
              <w:widowControl/>
              <w:ind w:firstLine="0"/>
              <w:jc w:val="center"/>
              <w:rPr>
                <w:sz w:val="18"/>
                <w:szCs w:val="18"/>
              </w:rPr>
            </w:pPr>
            <w:r w:rsidRPr="00407000">
              <w:rPr>
                <w:sz w:val="18"/>
                <w:szCs w:val="18"/>
              </w:rPr>
              <w:t>12</w:t>
            </w:r>
          </w:p>
        </w:tc>
        <w:tc>
          <w:tcPr>
            <w:tcW w:w="1260" w:type="dxa"/>
            <w:vAlign w:val="center"/>
          </w:tcPr>
          <w:p w:rsidR="00F84F32" w:rsidRPr="00407000" w:rsidRDefault="00F84F32" w:rsidP="00407000">
            <w:pPr>
              <w:widowControl/>
              <w:ind w:firstLine="0"/>
              <w:jc w:val="center"/>
              <w:rPr>
                <w:sz w:val="18"/>
                <w:szCs w:val="18"/>
              </w:rPr>
            </w:pPr>
            <w:r w:rsidRPr="00407000">
              <w:rPr>
                <w:sz w:val="18"/>
                <w:szCs w:val="18"/>
              </w:rPr>
              <w:t>12</w:t>
            </w:r>
          </w:p>
        </w:tc>
        <w:tc>
          <w:tcPr>
            <w:tcW w:w="1080" w:type="dxa"/>
            <w:vAlign w:val="center"/>
          </w:tcPr>
          <w:p w:rsidR="00F84F32" w:rsidRPr="00407000" w:rsidRDefault="00F84F32" w:rsidP="00407000">
            <w:pPr>
              <w:widowControl/>
              <w:ind w:firstLine="0"/>
              <w:jc w:val="center"/>
              <w:rPr>
                <w:sz w:val="18"/>
                <w:szCs w:val="18"/>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sz w:val="18"/>
                <w:szCs w:val="18"/>
              </w:rPr>
            </w:pPr>
            <w:r w:rsidRPr="00407000">
              <w:rPr>
                <w:sz w:val="18"/>
                <w:szCs w:val="18"/>
              </w:rPr>
              <w:t>1</w:t>
            </w:r>
            <w:r>
              <w:rPr>
                <w:sz w:val="18"/>
                <w:szCs w:val="18"/>
              </w:rPr>
              <w:t>1</w:t>
            </w:r>
          </w:p>
        </w:tc>
        <w:tc>
          <w:tcPr>
            <w:tcW w:w="856" w:type="dxa"/>
            <w:shd w:val="clear" w:color="auto" w:fill="FFC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B"/>
            </w:r>
          </w:p>
        </w:tc>
      </w:tr>
      <w:tr w:rsidR="00F84F32" w:rsidRPr="00407000" w:rsidTr="002C447E">
        <w:tc>
          <w:tcPr>
            <w:tcW w:w="560" w:type="dxa"/>
            <w:vMerge/>
            <w:vAlign w:val="center"/>
          </w:tcPr>
          <w:p w:rsidR="00F84F32" w:rsidRPr="00407000" w:rsidRDefault="00F84F32" w:rsidP="00407000">
            <w:pPr>
              <w:widowControl/>
              <w:ind w:firstLine="0"/>
              <w:jc w:val="left"/>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26.</w:t>
            </w:r>
          </w:p>
        </w:tc>
        <w:tc>
          <w:tcPr>
            <w:tcW w:w="2593" w:type="dxa"/>
            <w:vAlign w:val="center"/>
          </w:tcPr>
          <w:p w:rsidR="00F84F32" w:rsidRPr="00407000" w:rsidRDefault="00F84F32" w:rsidP="00407000">
            <w:pPr>
              <w:ind w:firstLine="0"/>
              <w:jc w:val="left"/>
              <w:rPr>
                <w:sz w:val="18"/>
                <w:szCs w:val="18"/>
              </w:rPr>
            </w:pPr>
            <w:r w:rsidRPr="00407000">
              <w:rPr>
                <w:sz w:val="18"/>
                <w:szCs w:val="18"/>
              </w:rPr>
              <w:t xml:space="preserve">Počet akcí a účastníků vzdělávacích akcí realizovaných za účelem zvýšení bezpečnosti </w:t>
            </w:r>
            <w:r>
              <w:rPr>
                <w:rStyle w:val="Znakapoznpodarou"/>
                <w:sz w:val="18"/>
                <w:szCs w:val="18"/>
              </w:rPr>
              <w:footnoteReference w:id="25"/>
            </w:r>
          </w:p>
        </w:tc>
        <w:tc>
          <w:tcPr>
            <w:tcW w:w="1620" w:type="dxa"/>
            <w:vAlign w:val="center"/>
          </w:tcPr>
          <w:p w:rsidR="00F84F32" w:rsidRPr="00407000" w:rsidRDefault="00F84F32" w:rsidP="00407000">
            <w:pPr>
              <w:widowControl/>
              <w:ind w:firstLine="0"/>
              <w:jc w:val="center"/>
              <w:rPr>
                <w:sz w:val="18"/>
                <w:szCs w:val="18"/>
              </w:rPr>
            </w:pPr>
            <w:r w:rsidRPr="00407000">
              <w:rPr>
                <w:sz w:val="18"/>
                <w:szCs w:val="18"/>
              </w:rPr>
              <w:t>3 / 6 500</w:t>
            </w:r>
          </w:p>
        </w:tc>
        <w:tc>
          <w:tcPr>
            <w:tcW w:w="1260" w:type="dxa"/>
            <w:vAlign w:val="center"/>
          </w:tcPr>
          <w:p w:rsidR="00F84F32" w:rsidRPr="00407000" w:rsidRDefault="00F84F32" w:rsidP="00407000">
            <w:pPr>
              <w:widowControl/>
              <w:ind w:firstLine="0"/>
              <w:jc w:val="center"/>
              <w:rPr>
                <w:sz w:val="18"/>
                <w:szCs w:val="18"/>
              </w:rPr>
            </w:pPr>
            <w:r w:rsidRPr="00407000">
              <w:rPr>
                <w:sz w:val="18"/>
                <w:szCs w:val="18"/>
              </w:rPr>
              <w:t>5 / 8 500</w:t>
            </w:r>
          </w:p>
        </w:tc>
        <w:tc>
          <w:tcPr>
            <w:tcW w:w="1080" w:type="dxa"/>
            <w:vAlign w:val="center"/>
          </w:tcPr>
          <w:p w:rsidR="00F84F32" w:rsidRPr="00407000" w:rsidRDefault="00F84F32" w:rsidP="00407000">
            <w:pPr>
              <w:widowControl/>
              <w:ind w:firstLine="0"/>
              <w:jc w:val="center"/>
              <w:rPr>
                <w:sz w:val="18"/>
                <w:szCs w:val="18"/>
              </w:rPr>
            </w:pPr>
            <w:r w:rsidRPr="00407000">
              <w:rPr>
                <w:rFonts w:eastAsia="MS Mincho"/>
                <w:spacing w:val="4"/>
                <w:sz w:val="18"/>
                <w:szCs w:val="18"/>
                <w:lang w:eastAsia="en-US"/>
              </w:rPr>
              <w:t>↑</w:t>
            </w:r>
          </w:p>
        </w:tc>
        <w:tc>
          <w:tcPr>
            <w:tcW w:w="1080" w:type="dxa"/>
            <w:vAlign w:val="center"/>
          </w:tcPr>
          <w:p w:rsidR="00F84F32" w:rsidRPr="00407000" w:rsidRDefault="00F84F32" w:rsidP="009D3781">
            <w:pPr>
              <w:widowControl/>
              <w:ind w:firstLine="0"/>
              <w:jc w:val="center"/>
              <w:rPr>
                <w:sz w:val="18"/>
                <w:szCs w:val="18"/>
              </w:rPr>
            </w:pPr>
            <w:r>
              <w:rPr>
                <w:sz w:val="18"/>
                <w:szCs w:val="18"/>
              </w:rPr>
              <w:t>1 / 300</w:t>
            </w:r>
          </w:p>
        </w:tc>
        <w:tc>
          <w:tcPr>
            <w:tcW w:w="856" w:type="dxa"/>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B96A10">
        <w:tc>
          <w:tcPr>
            <w:tcW w:w="560" w:type="dxa"/>
            <w:vMerge/>
            <w:tcBorders>
              <w:bottom w:val="single" w:sz="12" w:space="0" w:color="000000"/>
            </w:tcBorders>
            <w:vAlign w:val="center"/>
          </w:tcPr>
          <w:p w:rsidR="00F84F32" w:rsidRPr="00407000" w:rsidRDefault="00F84F32" w:rsidP="00407000">
            <w:pPr>
              <w:widowControl/>
              <w:ind w:firstLine="0"/>
              <w:jc w:val="left"/>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27.</w:t>
            </w:r>
          </w:p>
        </w:tc>
        <w:tc>
          <w:tcPr>
            <w:tcW w:w="2593"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Podíl bezbariérových vozů a plně bezbariérových vozů MHD (%)</w:t>
            </w:r>
          </w:p>
        </w:tc>
        <w:tc>
          <w:tcPr>
            <w:tcW w:w="1620" w:type="dxa"/>
            <w:tcBorders>
              <w:bottom w:val="single" w:sz="12" w:space="0" w:color="000000"/>
            </w:tcBorders>
            <w:vAlign w:val="center"/>
          </w:tcPr>
          <w:p w:rsidR="00F84F32" w:rsidRPr="00407000" w:rsidRDefault="00F84F32" w:rsidP="00407000">
            <w:pPr>
              <w:widowControl/>
              <w:ind w:firstLine="0"/>
              <w:jc w:val="center"/>
              <w:rPr>
                <w:sz w:val="18"/>
                <w:szCs w:val="18"/>
              </w:rPr>
            </w:pPr>
            <w:r w:rsidRPr="00407000">
              <w:rPr>
                <w:sz w:val="18"/>
                <w:szCs w:val="18"/>
              </w:rPr>
              <w:t>BV / 80</w:t>
            </w:r>
          </w:p>
          <w:p w:rsidR="00F84F32" w:rsidRPr="00407000" w:rsidRDefault="00F84F32" w:rsidP="00407000">
            <w:pPr>
              <w:widowControl/>
              <w:ind w:firstLine="0"/>
              <w:jc w:val="center"/>
              <w:rPr>
                <w:sz w:val="18"/>
                <w:szCs w:val="18"/>
              </w:rPr>
            </w:pPr>
            <w:r w:rsidRPr="00407000">
              <w:rPr>
                <w:sz w:val="18"/>
                <w:szCs w:val="18"/>
              </w:rPr>
              <w:t>PBV / 53</w:t>
            </w:r>
          </w:p>
        </w:tc>
        <w:tc>
          <w:tcPr>
            <w:tcW w:w="1260" w:type="dxa"/>
            <w:tcBorders>
              <w:bottom w:val="single" w:sz="12" w:space="0" w:color="000000"/>
            </w:tcBorders>
            <w:vAlign w:val="center"/>
          </w:tcPr>
          <w:p w:rsidR="00F84F32" w:rsidRPr="00407000" w:rsidRDefault="00F84F32" w:rsidP="00407000">
            <w:pPr>
              <w:widowControl/>
              <w:ind w:firstLine="0"/>
              <w:jc w:val="center"/>
              <w:rPr>
                <w:sz w:val="18"/>
                <w:szCs w:val="18"/>
              </w:rPr>
            </w:pPr>
            <w:r w:rsidRPr="00407000">
              <w:rPr>
                <w:sz w:val="18"/>
                <w:szCs w:val="18"/>
              </w:rPr>
              <w:t>BV / 94</w:t>
            </w:r>
          </w:p>
          <w:p w:rsidR="00F84F32" w:rsidRPr="00407000" w:rsidRDefault="00F84F32" w:rsidP="00407000">
            <w:pPr>
              <w:widowControl/>
              <w:ind w:firstLine="0"/>
              <w:jc w:val="center"/>
              <w:rPr>
                <w:sz w:val="18"/>
                <w:szCs w:val="18"/>
              </w:rPr>
            </w:pPr>
            <w:r w:rsidRPr="00407000">
              <w:rPr>
                <w:sz w:val="18"/>
                <w:szCs w:val="18"/>
              </w:rPr>
              <w:t>PBV / 60</w:t>
            </w:r>
          </w:p>
        </w:tc>
        <w:tc>
          <w:tcPr>
            <w:tcW w:w="1080" w:type="dxa"/>
            <w:tcBorders>
              <w:bottom w:val="single" w:sz="12" w:space="0" w:color="000000"/>
            </w:tcBorders>
            <w:vAlign w:val="center"/>
          </w:tcPr>
          <w:p w:rsidR="00F84F32" w:rsidRPr="00407000" w:rsidRDefault="00F84F32" w:rsidP="00407000">
            <w:pPr>
              <w:widowControl/>
              <w:ind w:firstLine="0"/>
              <w:jc w:val="center"/>
              <w:rPr>
                <w:sz w:val="18"/>
                <w:szCs w:val="18"/>
              </w:rPr>
            </w:pPr>
            <w:r w:rsidRPr="00407000">
              <w:rPr>
                <w:rFonts w:eastAsia="MS Mincho"/>
                <w:spacing w:val="4"/>
                <w:sz w:val="18"/>
                <w:szCs w:val="18"/>
                <w:lang w:eastAsia="en-US"/>
              </w:rPr>
              <w:t>↑</w:t>
            </w:r>
          </w:p>
        </w:tc>
        <w:tc>
          <w:tcPr>
            <w:tcW w:w="1080" w:type="dxa"/>
            <w:tcBorders>
              <w:bottom w:val="single" w:sz="12" w:space="0" w:color="000000"/>
            </w:tcBorders>
            <w:vAlign w:val="center"/>
          </w:tcPr>
          <w:p w:rsidR="00F84F32" w:rsidRPr="00407000" w:rsidRDefault="00F84F32" w:rsidP="00407000">
            <w:pPr>
              <w:widowControl/>
              <w:ind w:firstLine="0"/>
              <w:jc w:val="center"/>
              <w:rPr>
                <w:sz w:val="18"/>
                <w:szCs w:val="18"/>
              </w:rPr>
            </w:pPr>
            <w:r w:rsidRPr="00407000">
              <w:rPr>
                <w:sz w:val="18"/>
                <w:szCs w:val="18"/>
              </w:rPr>
              <w:t>BV / 8</w:t>
            </w:r>
            <w:r>
              <w:rPr>
                <w:sz w:val="18"/>
                <w:szCs w:val="18"/>
              </w:rPr>
              <w:t>8</w:t>
            </w:r>
          </w:p>
          <w:p w:rsidR="00F84F32" w:rsidRPr="00407000" w:rsidRDefault="00F84F32" w:rsidP="00407000">
            <w:pPr>
              <w:widowControl/>
              <w:ind w:firstLine="0"/>
              <w:jc w:val="center"/>
              <w:rPr>
                <w:sz w:val="18"/>
                <w:szCs w:val="18"/>
              </w:rPr>
            </w:pPr>
            <w:r w:rsidRPr="00407000">
              <w:rPr>
                <w:sz w:val="18"/>
                <w:szCs w:val="18"/>
              </w:rPr>
              <w:t>PBV / 59</w:t>
            </w:r>
          </w:p>
        </w:tc>
        <w:tc>
          <w:tcPr>
            <w:tcW w:w="856" w:type="dxa"/>
            <w:tcBorders>
              <w:bottom w:val="single" w:sz="12" w:space="0" w:color="000000"/>
            </w:tcBorders>
            <w:shd w:val="clear" w:color="auto" w:fill="99CC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A"/>
            </w:r>
          </w:p>
        </w:tc>
      </w:tr>
    </w:tbl>
    <w:p w:rsidR="00F84F32" w:rsidRPr="00407000" w:rsidRDefault="00F84F32" w:rsidP="00407000"/>
    <w:p w:rsidR="00F84F32" w:rsidRPr="00266020" w:rsidRDefault="00F84F32" w:rsidP="00407000">
      <w:pPr>
        <w:ind w:firstLine="0"/>
        <w:rPr>
          <w:b/>
          <w:color w:val="000000"/>
        </w:rPr>
      </w:pPr>
      <w:r w:rsidRPr="00266020">
        <w:rPr>
          <w:b/>
          <w:color w:val="000000"/>
        </w:rPr>
        <w:t xml:space="preserve">Opatření 3.2.1 Realizace aktivit vedoucích ke zvýšení bezpečnosti </w:t>
      </w:r>
    </w:p>
    <w:p w:rsidR="00F84F32" w:rsidRPr="00407000" w:rsidRDefault="00F84F32" w:rsidP="00407000">
      <w:pPr>
        <w:ind w:firstLine="0"/>
        <w:rPr>
          <w:u w:val="single"/>
        </w:rPr>
      </w:pPr>
      <w:r w:rsidRPr="00407000">
        <w:rPr>
          <w:u w:val="single"/>
        </w:rPr>
        <w:t>Stav opatření:</w:t>
      </w:r>
    </w:p>
    <w:p w:rsidR="00F84F32" w:rsidRPr="00407000" w:rsidRDefault="00F84F32" w:rsidP="00AD01FB">
      <w:r w:rsidRPr="00407000">
        <w:t>Během roku 20</w:t>
      </w:r>
      <w:r>
        <w:t>20</w:t>
      </w:r>
      <w:r w:rsidRPr="00407000">
        <w:t xml:space="preserve"> bylo mimo běžnou údržbu dopravního značení realizováno dalších 1</w:t>
      </w:r>
      <w:r>
        <w:t>1</w:t>
      </w:r>
      <w:r w:rsidRPr="00407000">
        <w:t xml:space="preserve"> dopravních opatření a to zejména: rozšíření pěších zón, realizace nových zklidněných zón a</w:t>
      </w:r>
      <w:r>
        <w:t> </w:t>
      </w:r>
      <w:r w:rsidRPr="00407000">
        <w:t>dalších dopravně bezpečnostních opatření</w:t>
      </w:r>
      <w:r>
        <w:t xml:space="preserve"> jako jsou např. zajištění rozhledových poměrů v křižovatkách, zpomalovacích prahů apod.</w:t>
      </w:r>
      <w:r w:rsidRPr="00407000">
        <w:t xml:space="preserve"> </w:t>
      </w:r>
    </w:p>
    <w:p w:rsidR="00F84F32" w:rsidRPr="00407000" w:rsidRDefault="00F84F32" w:rsidP="00AD01FB"/>
    <w:p w:rsidR="00F84F32" w:rsidRPr="00407000" w:rsidRDefault="00F84F32" w:rsidP="00407000">
      <w:pPr>
        <w:ind w:firstLine="0"/>
        <w:rPr>
          <w:b/>
        </w:rPr>
      </w:pPr>
      <w:r w:rsidRPr="00407000">
        <w:rPr>
          <w:b/>
        </w:rPr>
        <w:t xml:space="preserve">Opatření 3.2.2 Realizace aktivit vedoucích ke zvýšení bezbariérovosti </w:t>
      </w:r>
    </w:p>
    <w:p w:rsidR="00F84F32" w:rsidRPr="00407000" w:rsidRDefault="00F84F32" w:rsidP="00407000">
      <w:pPr>
        <w:ind w:firstLine="0"/>
        <w:rPr>
          <w:u w:val="single"/>
        </w:rPr>
      </w:pPr>
      <w:r w:rsidRPr="00407000">
        <w:rPr>
          <w:u w:val="single"/>
        </w:rPr>
        <w:t>Stav opatření:</w:t>
      </w:r>
    </w:p>
    <w:p w:rsidR="00F84F32" w:rsidRDefault="00F84F32" w:rsidP="002209A7">
      <w:r w:rsidRPr="00407000">
        <w:t>Během roku 20</w:t>
      </w:r>
      <w:r>
        <w:t>20</w:t>
      </w:r>
      <w:r w:rsidRPr="00407000">
        <w:t xml:space="preserve"> bylo vybudováno a rekonstruováno více než </w:t>
      </w:r>
      <w:r>
        <w:t>3,9</w:t>
      </w:r>
      <w:r w:rsidRPr="00407000">
        <w:t xml:space="preserve"> km chodníků s bezbariérovými a také bezpečnostními opatřeními. Za účelem zlepšení pohybu osob s omezenou schopností pohybu a</w:t>
      </w:r>
      <w:r>
        <w:t xml:space="preserve"> orientací došlo k odstranění 59</w:t>
      </w:r>
      <w:r w:rsidRPr="00407000">
        <w:t xml:space="preserve"> bariér, a to např. vybudováním bezbariérových přechodů, varovných pásů a míst pro přecházení. </w:t>
      </w:r>
    </w:p>
    <w:p w:rsidR="00F84F32" w:rsidRPr="00407000" w:rsidRDefault="00F84F32" w:rsidP="002209A7"/>
    <w:p w:rsidR="00F84F32" w:rsidRPr="00407000" w:rsidRDefault="00F84F32" w:rsidP="00407000">
      <w:pPr>
        <w:ind w:firstLine="0"/>
        <w:rPr>
          <w:b/>
        </w:rPr>
      </w:pPr>
      <w:r w:rsidRPr="00407000">
        <w:rPr>
          <w:b/>
        </w:rPr>
        <w:t>Opatření 3.2.3 Rozvoj technických i personálních kapacit vč. zázemí pro výuku bezpečného chování v dopravě pro všechny generace</w:t>
      </w:r>
    </w:p>
    <w:p w:rsidR="00F84F32" w:rsidRPr="00407000" w:rsidRDefault="00F84F32" w:rsidP="00407000">
      <w:pPr>
        <w:ind w:firstLine="0"/>
        <w:rPr>
          <w:u w:val="single"/>
        </w:rPr>
      </w:pPr>
      <w:r w:rsidRPr="00407000">
        <w:rPr>
          <w:u w:val="single"/>
        </w:rPr>
        <w:t>Stav opatření:</w:t>
      </w:r>
    </w:p>
    <w:p w:rsidR="00F84F32" w:rsidRDefault="00F84F32" w:rsidP="00AD0515">
      <w:r w:rsidRPr="00407000">
        <w:t>V Olomouci se na dopravní výchovu a s ní spojené volnočasové aktivity pro děti i nejširší veřej</w:t>
      </w:r>
      <w:r>
        <w:t>nost zaměřuje centrum SEMAFOR.</w:t>
      </w:r>
    </w:p>
    <w:p w:rsidR="00F84F32" w:rsidRPr="002C447E" w:rsidRDefault="00F84F32" w:rsidP="00212671">
      <w:r w:rsidRPr="002C447E">
        <w:t xml:space="preserve">V roce 2020 vzhledem k opatřením souvisejícím s pandemií Covid-19 byly dílčím způsobem realizovány pouze stávající aktivity centra (dopravní výchova </w:t>
      </w:r>
      <w:r>
        <w:t>ZŠ, MŠ, seniorů, veřejnosti). B</w:t>
      </w:r>
      <w:r w:rsidRPr="002C447E">
        <w:t>yl zpracován záměr rozšíření zázemí Centra o kancelářsko-sociální buňku, která byla na konci roku zakoupena. Její připojení bude realizováno v prvním čtvrtletí roku 2021.</w:t>
      </w:r>
    </w:p>
    <w:p w:rsidR="00F84F32" w:rsidRDefault="00F84F32" w:rsidP="00C53F16">
      <w:pPr>
        <w:ind w:firstLine="0"/>
      </w:pPr>
    </w:p>
    <w:p w:rsidR="00F84F32" w:rsidRPr="00407000" w:rsidRDefault="00F84F32" w:rsidP="00C53F16">
      <w:pPr>
        <w:ind w:firstLine="0"/>
      </w:pPr>
    </w:p>
    <w:p w:rsidR="00F84F32" w:rsidRPr="00407000" w:rsidRDefault="00F84F32" w:rsidP="00407000">
      <w:pPr>
        <w:shd w:val="clear" w:color="auto" w:fill="EAF1DD"/>
        <w:ind w:firstLine="0"/>
        <w:rPr>
          <w:b/>
        </w:rPr>
      </w:pPr>
      <w:r w:rsidRPr="00407000">
        <w:rPr>
          <w:b/>
        </w:rPr>
        <w:t xml:space="preserve">Cíl 3.3 Zlepšit kvalitu veřejných prostranství včetně sídelní zeleně a chránit historické dědictví </w:t>
      </w:r>
    </w:p>
    <w:p w:rsidR="00F84F32" w:rsidRPr="00407000" w:rsidRDefault="00F84F32" w:rsidP="00407000"/>
    <w:tbl>
      <w:tblPr>
        <w:tblW w:w="9613"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93"/>
        <w:gridCol w:w="1620"/>
        <w:gridCol w:w="1197"/>
        <w:gridCol w:w="1213"/>
        <w:gridCol w:w="947"/>
        <w:gridCol w:w="856"/>
      </w:tblGrid>
      <w:tr w:rsidR="00F84F32" w:rsidRPr="00407000" w:rsidTr="002D6232">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9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4977"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856"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2D6232">
        <w:trPr>
          <w:tblHeader/>
        </w:trPr>
        <w:tc>
          <w:tcPr>
            <w:tcW w:w="560" w:type="dxa"/>
            <w:vMerge/>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vAlign w:val="center"/>
          </w:tcPr>
          <w:p w:rsidR="00F84F32" w:rsidRPr="00407000" w:rsidRDefault="00F84F32" w:rsidP="00407000">
            <w:pPr>
              <w:widowControl/>
              <w:ind w:firstLine="0"/>
              <w:jc w:val="left"/>
              <w:rPr>
                <w:rFonts w:eastAsia="MS Mincho"/>
                <w:b/>
                <w:spacing w:val="4"/>
                <w:sz w:val="18"/>
                <w:szCs w:val="18"/>
                <w:lang w:eastAsia="en-US"/>
              </w:rPr>
            </w:pPr>
          </w:p>
        </w:tc>
        <w:tc>
          <w:tcPr>
            <w:tcW w:w="2593" w:type="dxa"/>
            <w:vMerge/>
            <w:vAlign w:val="center"/>
          </w:tcPr>
          <w:p w:rsidR="00F84F32" w:rsidRPr="00407000" w:rsidRDefault="00F84F32" w:rsidP="00407000">
            <w:pPr>
              <w:widowControl/>
              <w:ind w:firstLine="0"/>
              <w:jc w:val="left"/>
              <w:rPr>
                <w:rFonts w:eastAsia="MS Mincho"/>
                <w:b/>
                <w:spacing w:val="4"/>
                <w:sz w:val="18"/>
                <w:szCs w:val="18"/>
                <w:lang w:eastAsia="en-US"/>
              </w:rPr>
            </w:pPr>
          </w:p>
        </w:tc>
        <w:tc>
          <w:tcPr>
            <w:tcW w:w="162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9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1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94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856" w:type="dxa"/>
            <w:vMerge/>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2C447E">
        <w:trPr>
          <w:trHeight w:val="241"/>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3.3</w:t>
            </w:r>
          </w:p>
        </w:tc>
        <w:tc>
          <w:tcPr>
            <w:tcW w:w="627" w:type="dxa"/>
            <w:vAlign w:val="center"/>
          </w:tcPr>
          <w:p w:rsidR="00F84F32" w:rsidRPr="00407000" w:rsidRDefault="00F84F32" w:rsidP="00BF7C7F">
            <w:pPr>
              <w:ind w:firstLine="27"/>
              <w:jc w:val="center"/>
              <w:rPr>
                <w:color w:val="000000"/>
                <w:sz w:val="18"/>
                <w:szCs w:val="18"/>
              </w:rPr>
            </w:pPr>
            <w:r w:rsidRPr="00407000">
              <w:rPr>
                <w:color w:val="000000"/>
                <w:sz w:val="18"/>
                <w:szCs w:val="18"/>
              </w:rPr>
              <w:t>28.</w:t>
            </w:r>
          </w:p>
        </w:tc>
        <w:tc>
          <w:tcPr>
            <w:tcW w:w="2593" w:type="dxa"/>
            <w:vAlign w:val="center"/>
          </w:tcPr>
          <w:p w:rsidR="00F84F32" w:rsidRPr="00407000" w:rsidRDefault="00F84F32" w:rsidP="00407000">
            <w:pPr>
              <w:ind w:firstLine="0"/>
              <w:jc w:val="left"/>
              <w:rPr>
                <w:sz w:val="18"/>
                <w:szCs w:val="18"/>
              </w:rPr>
            </w:pPr>
            <w:r w:rsidRPr="00407000">
              <w:rPr>
                <w:sz w:val="18"/>
                <w:szCs w:val="18"/>
              </w:rPr>
              <w:t>Vytvoření Programu rozvoje historických parků (A/N)</w:t>
            </w:r>
          </w:p>
        </w:tc>
        <w:tc>
          <w:tcPr>
            <w:tcW w:w="1620" w:type="dxa"/>
            <w:vAlign w:val="center"/>
          </w:tcPr>
          <w:p w:rsidR="00F84F32" w:rsidRPr="00407000" w:rsidRDefault="00F84F32" w:rsidP="002D6232">
            <w:pPr>
              <w:widowControl/>
              <w:ind w:firstLine="0"/>
              <w:jc w:val="center"/>
              <w:rPr>
                <w:rFonts w:eastAsia="MS Mincho"/>
                <w:spacing w:val="4"/>
                <w:sz w:val="18"/>
                <w:szCs w:val="18"/>
                <w:lang w:eastAsia="en-US"/>
              </w:rPr>
            </w:pPr>
            <w:r w:rsidRPr="00407000">
              <w:rPr>
                <w:rFonts w:eastAsia="MS Mincho"/>
                <w:spacing w:val="4"/>
                <w:sz w:val="18"/>
                <w:szCs w:val="18"/>
                <w:lang w:eastAsia="en-US"/>
              </w:rPr>
              <w:t>N</w:t>
            </w:r>
          </w:p>
        </w:tc>
        <w:tc>
          <w:tcPr>
            <w:tcW w:w="1197" w:type="dxa"/>
            <w:vAlign w:val="center"/>
          </w:tcPr>
          <w:p w:rsidR="00F84F32" w:rsidRPr="00407000" w:rsidRDefault="00F84F32" w:rsidP="002D6232">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1213" w:type="dxa"/>
            <w:vAlign w:val="center"/>
          </w:tcPr>
          <w:p w:rsidR="00F84F32" w:rsidRPr="00407000" w:rsidRDefault="00F84F32" w:rsidP="002D6232">
            <w:pPr>
              <w:widowControl/>
              <w:ind w:firstLine="0"/>
              <w:jc w:val="center"/>
              <w:rPr>
                <w:rFonts w:eastAsia="MS Mincho"/>
                <w:spacing w:val="4"/>
                <w:sz w:val="18"/>
                <w:szCs w:val="18"/>
                <w:lang w:eastAsia="en-US"/>
              </w:rPr>
            </w:pPr>
            <w:r w:rsidRPr="00407000">
              <w:rPr>
                <w:rFonts w:eastAsia="MS Mincho"/>
                <w:spacing w:val="4"/>
                <w:sz w:val="18"/>
                <w:szCs w:val="18"/>
                <w:lang w:eastAsia="en-US"/>
              </w:rPr>
              <w:t>A</w:t>
            </w:r>
          </w:p>
        </w:tc>
        <w:tc>
          <w:tcPr>
            <w:tcW w:w="947" w:type="dxa"/>
            <w:vAlign w:val="center"/>
          </w:tcPr>
          <w:p w:rsidR="00F84F32" w:rsidRPr="00407000" w:rsidRDefault="00F84F32" w:rsidP="002D6232">
            <w:pPr>
              <w:widowControl/>
              <w:ind w:firstLine="0"/>
              <w:jc w:val="center"/>
              <w:rPr>
                <w:rFonts w:eastAsia="MS Mincho"/>
                <w:spacing w:val="4"/>
                <w:sz w:val="18"/>
                <w:szCs w:val="18"/>
                <w:lang w:eastAsia="en-US"/>
              </w:rPr>
            </w:pPr>
            <w:r>
              <w:rPr>
                <w:rFonts w:eastAsia="MS Mincho"/>
                <w:spacing w:val="4"/>
                <w:sz w:val="18"/>
                <w:szCs w:val="18"/>
                <w:lang w:eastAsia="en-US"/>
              </w:rPr>
              <w:t>A</w:t>
            </w:r>
          </w:p>
        </w:tc>
        <w:tc>
          <w:tcPr>
            <w:tcW w:w="856" w:type="dxa"/>
            <w:shd w:val="clear" w:color="auto" w:fill="99CC00"/>
            <w:vAlign w:val="center"/>
          </w:tcPr>
          <w:p w:rsidR="00F84F32" w:rsidRPr="00407000" w:rsidRDefault="00F84F32" w:rsidP="002D6232">
            <w:pPr>
              <w:widowControl/>
              <w:ind w:firstLine="0"/>
              <w:jc w:val="center"/>
              <w:rPr>
                <w:rFonts w:eastAsia="MS Mincho"/>
                <w:spacing w:val="4"/>
                <w:sz w:val="16"/>
                <w:szCs w:val="16"/>
                <w:lang w:eastAsia="en-US"/>
              </w:rPr>
            </w:pPr>
            <w:r w:rsidRPr="00407000">
              <w:rPr>
                <w:sz w:val="32"/>
                <w:szCs w:val="32"/>
              </w:rPr>
              <w:sym w:font="Wingdings" w:char="F04A"/>
            </w:r>
          </w:p>
        </w:tc>
      </w:tr>
      <w:tr w:rsidR="00F84F32" w:rsidRPr="00407000" w:rsidTr="00A33795">
        <w:tc>
          <w:tcPr>
            <w:tcW w:w="560" w:type="dxa"/>
            <w:vMerge/>
          </w:tcPr>
          <w:p w:rsidR="00F84F32" w:rsidRPr="00407000" w:rsidRDefault="00F84F32" w:rsidP="00407000">
            <w:pPr>
              <w:widowControl/>
              <w:ind w:firstLine="0"/>
              <w:jc w:val="left"/>
              <w:rPr>
                <w:color w:val="000000"/>
                <w:sz w:val="18"/>
                <w:szCs w:val="18"/>
              </w:rPr>
            </w:pPr>
          </w:p>
        </w:tc>
        <w:tc>
          <w:tcPr>
            <w:tcW w:w="627" w:type="dxa"/>
            <w:vAlign w:val="center"/>
          </w:tcPr>
          <w:p w:rsidR="00F84F32" w:rsidRPr="00407000" w:rsidRDefault="00F84F32" w:rsidP="00BF7C7F">
            <w:pPr>
              <w:ind w:firstLine="27"/>
              <w:jc w:val="center"/>
              <w:rPr>
                <w:sz w:val="18"/>
                <w:szCs w:val="18"/>
              </w:rPr>
            </w:pPr>
            <w:r w:rsidRPr="00407000">
              <w:rPr>
                <w:sz w:val="18"/>
                <w:szCs w:val="18"/>
              </w:rPr>
              <w:t>29.</w:t>
            </w:r>
          </w:p>
        </w:tc>
        <w:tc>
          <w:tcPr>
            <w:tcW w:w="2593" w:type="dxa"/>
          </w:tcPr>
          <w:p w:rsidR="00F84F32" w:rsidRPr="00407000" w:rsidRDefault="00F84F32" w:rsidP="00407000">
            <w:pPr>
              <w:ind w:firstLine="0"/>
              <w:jc w:val="left"/>
              <w:rPr>
                <w:sz w:val="18"/>
                <w:szCs w:val="18"/>
              </w:rPr>
            </w:pPr>
            <w:r w:rsidRPr="00407000">
              <w:rPr>
                <w:sz w:val="18"/>
                <w:szCs w:val="18"/>
              </w:rPr>
              <w:t>Zpracování Koncepce veřejných prostranství města Olomouce (A/N)</w:t>
            </w:r>
          </w:p>
        </w:tc>
        <w:tc>
          <w:tcPr>
            <w:tcW w:w="1620" w:type="dxa"/>
            <w:vAlign w:val="center"/>
          </w:tcPr>
          <w:p w:rsidR="00F84F32" w:rsidRPr="00407000" w:rsidRDefault="00F84F32" w:rsidP="002D6232">
            <w:pPr>
              <w:widowControl/>
              <w:ind w:firstLine="0"/>
              <w:jc w:val="center"/>
              <w:rPr>
                <w:sz w:val="18"/>
                <w:szCs w:val="18"/>
              </w:rPr>
            </w:pPr>
            <w:r w:rsidRPr="00407000">
              <w:rPr>
                <w:sz w:val="18"/>
                <w:szCs w:val="18"/>
              </w:rPr>
              <w:t>N</w:t>
            </w:r>
          </w:p>
        </w:tc>
        <w:tc>
          <w:tcPr>
            <w:tcW w:w="1197" w:type="dxa"/>
            <w:vAlign w:val="center"/>
          </w:tcPr>
          <w:p w:rsidR="00F84F32" w:rsidRPr="00407000" w:rsidRDefault="00F84F32" w:rsidP="002D6232">
            <w:pPr>
              <w:widowControl/>
              <w:ind w:firstLine="0"/>
              <w:jc w:val="center"/>
              <w:rPr>
                <w:sz w:val="18"/>
                <w:szCs w:val="18"/>
              </w:rPr>
            </w:pPr>
            <w:r w:rsidRPr="00407000">
              <w:rPr>
                <w:sz w:val="18"/>
                <w:szCs w:val="18"/>
              </w:rPr>
              <w:t>A</w:t>
            </w:r>
          </w:p>
        </w:tc>
        <w:tc>
          <w:tcPr>
            <w:tcW w:w="1213" w:type="dxa"/>
            <w:vAlign w:val="center"/>
          </w:tcPr>
          <w:p w:rsidR="00F84F32" w:rsidRPr="00407000" w:rsidRDefault="00F84F32" w:rsidP="002D6232">
            <w:pPr>
              <w:widowControl/>
              <w:ind w:firstLine="0"/>
              <w:jc w:val="center"/>
              <w:rPr>
                <w:sz w:val="18"/>
                <w:szCs w:val="18"/>
              </w:rPr>
            </w:pPr>
            <w:r w:rsidRPr="00407000">
              <w:rPr>
                <w:sz w:val="18"/>
                <w:szCs w:val="18"/>
              </w:rPr>
              <w:t>A</w:t>
            </w:r>
          </w:p>
        </w:tc>
        <w:tc>
          <w:tcPr>
            <w:tcW w:w="947" w:type="dxa"/>
            <w:vAlign w:val="center"/>
          </w:tcPr>
          <w:p w:rsidR="00F84F32" w:rsidRPr="00407000" w:rsidRDefault="00F84F32" w:rsidP="002D6232">
            <w:pPr>
              <w:widowControl/>
              <w:ind w:firstLine="0"/>
              <w:jc w:val="center"/>
              <w:rPr>
                <w:sz w:val="18"/>
                <w:szCs w:val="18"/>
              </w:rPr>
            </w:pPr>
            <w:r w:rsidRPr="00407000">
              <w:rPr>
                <w:rFonts w:eastAsia="MS Mincho"/>
                <w:spacing w:val="4"/>
                <w:sz w:val="18"/>
                <w:szCs w:val="18"/>
                <w:lang w:eastAsia="en-US"/>
              </w:rPr>
              <w:t>N</w:t>
            </w:r>
          </w:p>
        </w:tc>
        <w:tc>
          <w:tcPr>
            <w:tcW w:w="856" w:type="dxa"/>
            <w:shd w:val="clear" w:color="auto" w:fill="FFC000"/>
            <w:vAlign w:val="center"/>
          </w:tcPr>
          <w:p w:rsidR="00F84F32" w:rsidRPr="00407000" w:rsidRDefault="00F84F32" w:rsidP="002D6232">
            <w:pPr>
              <w:widowControl/>
              <w:ind w:firstLine="0"/>
              <w:jc w:val="center"/>
              <w:rPr>
                <w:sz w:val="16"/>
                <w:szCs w:val="16"/>
              </w:rPr>
            </w:pPr>
            <w:r w:rsidRPr="00407000">
              <w:rPr>
                <w:sz w:val="32"/>
                <w:szCs w:val="32"/>
              </w:rPr>
              <w:sym w:font="Wingdings" w:char="F04B"/>
            </w:r>
          </w:p>
        </w:tc>
      </w:tr>
      <w:tr w:rsidR="00F84F32" w:rsidRPr="00407000" w:rsidTr="002C447E">
        <w:tc>
          <w:tcPr>
            <w:tcW w:w="560" w:type="dxa"/>
            <w:vMerge/>
          </w:tcPr>
          <w:p w:rsidR="00F84F32" w:rsidRPr="00407000" w:rsidRDefault="00F84F32" w:rsidP="00407000">
            <w:pPr>
              <w:widowControl/>
              <w:ind w:firstLine="0"/>
              <w:jc w:val="left"/>
              <w:rPr>
                <w:color w:val="000000"/>
                <w:sz w:val="18"/>
                <w:szCs w:val="18"/>
              </w:rPr>
            </w:pPr>
          </w:p>
        </w:tc>
        <w:tc>
          <w:tcPr>
            <w:tcW w:w="627" w:type="dxa"/>
            <w:vAlign w:val="center"/>
          </w:tcPr>
          <w:p w:rsidR="00F84F32" w:rsidRPr="00407000" w:rsidRDefault="00F84F32" w:rsidP="00BF7C7F">
            <w:pPr>
              <w:ind w:firstLine="27"/>
              <w:jc w:val="center"/>
              <w:rPr>
                <w:sz w:val="18"/>
                <w:szCs w:val="18"/>
              </w:rPr>
            </w:pPr>
            <w:r w:rsidRPr="00407000">
              <w:rPr>
                <w:sz w:val="18"/>
                <w:szCs w:val="18"/>
              </w:rPr>
              <w:t>30.</w:t>
            </w:r>
          </w:p>
        </w:tc>
        <w:tc>
          <w:tcPr>
            <w:tcW w:w="2593" w:type="dxa"/>
          </w:tcPr>
          <w:p w:rsidR="00F84F32" w:rsidRPr="00407000" w:rsidRDefault="00F84F32" w:rsidP="00407000">
            <w:pPr>
              <w:ind w:firstLine="0"/>
              <w:jc w:val="left"/>
              <w:rPr>
                <w:sz w:val="18"/>
                <w:szCs w:val="18"/>
              </w:rPr>
            </w:pPr>
            <w:r w:rsidRPr="00407000">
              <w:rPr>
                <w:sz w:val="18"/>
                <w:szCs w:val="18"/>
              </w:rPr>
              <w:t>Plocha zrevitalizované a nově založené sídelní zeleně ve městě za rok (m</w:t>
            </w:r>
            <w:r w:rsidRPr="00407000">
              <w:rPr>
                <w:sz w:val="18"/>
                <w:szCs w:val="18"/>
                <w:vertAlign w:val="superscript"/>
              </w:rPr>
              <w:t>2</w:t>
            </w:r>
            <w:r w:rsidRPr="00407000">
              <w:rPr>
                <w:sz w:val="18"/>
                <w:szCs w:val="18"/>
              </w:rPr>
              <w:t>/rok)</w:t>
            </w:r>
          </w:p>
        </w:tc>
        <w:tc>
          <w:tcPr>
            <w:tcW w:w="1620" w:type="dxa"/>
            <w:vAlign w:val="center"/>
          </w:tcPr>
          <w:p w:rsidR="00F84F32" w:rsidRPr="00407000" w:rsidRDefault="00F84F32" w:rsidP="002D6232">
            <w:pPr>
              <w:widowControl/>
              <w:ind w:firstLine="0"/>
              <w:jc w:val="center"/>
              <w:rPr>
                <w:sz w:val="18"/>
                <w:szCs w:val="18"/>
              </w:rPr>
            </w:pPr>
            <w:r w:rsidRPr="00407000">
              <w:rPr>
                <w:sz w:val="18"/>
                <w:szCs w:val="18"/>
              </w:rPr>
              <w:t>n.a.</w:t>
            </w:r>
          </w:p>
        </w:tc>
        <w:tc>
          <w:tcPr>
            <w:tcW w:w="1197" w:type="dxa"/>
            <w:vAlign w:val="center"/>
          </w:tcPr>
          <w:p w:rsidR="00F84F32" w:rsidRPr="00407000" w:rsidRDefault="00F84F32" w:rsidP="002D6232">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13" w:type="dxa"/>
            <w:vAlign w:val="center"/>
          </w:tcPr>
          <w:p w:rsidR="00F84F32" w:rsidRPr="00407000" w:rsidRDefault="00F84F32" w:rsidP="002D6232">
            <w:pPr>
              <w:widowControl/>
              <w:ind w:firstLine="0"/>
              <w:jc w:val="center"/>
              <w:rPr>
                <w:sz w:val="18"/>
                <w:szCs w:val="18"/>
              </w:rPr>
            </w:pPr>
            <w:r w:rsidRPr="00FF37D5">
              <w:rPr>
                <w:rFonts w:eastAsia="MS Mincho"/>
                <w:spacing w:val="4"/>
                <w:sz w:val="18"/>
                <w:szCs w:val="18"/>
                <w:lang w:eastAsia="en-US"/>
              </w:rPr>
              <w:t>↑</w:t>
            </w:r>
          </w:p>
        </w:tc>
        <w:tc>
          <w:tcPr>
            <w:tcW w:w="947" w:type="dxa"/>
            <w:vAlign w:val="center"/>
          </w:tcPr>
          <w:p w:rsidR="00F84F32" w:rsidRPr="00407000" w:rsidRDefault="00F84F32" w:rsidP="002D6232">
            <w:pPr>
              <w:widowControl/>
              <w:ind w:firstLine="0"/>
              <w:jc w:val="center"/>
              <w:rPr>
                <w:sz w:val="18"/>
                <w:szCs w:val="18"/>
              </w:rPr>
            </w:pPr>
            <w:r>
              <w:rPr>
                <w:sz w:val="18"/>
                <w:szCs w:val="18"/>
              </w:rPr>
              <w:t>2 603</w:t>
            </w:r>
          </w:p>
        </w:tc>
        <w:tc>
          <w:tcPr>
            <w:tcW w:w="856" w:type="dxa"/>
            <w:shd w:val="clear" w:color="auto" w:fill="FFC000"/>
            <w:vAlign w:val="center"/>
          </w:tcPr>
          <w:p w:rsidR="00F84F32" w:rsidRPr="00407000" w:rsidRDefault="00F84F32" w:rsidP="002D6232">
            <w:pPr>
              <w:widowControl/>
              <w:ind w:firstLine="0"/>
              <w:jc w:val="center"/>
              <w:rPr>
                <w:sz w:val="16"/>
                <w:szCs w:val="16"/>
              </w:rPr>
            </w:pPr>
            <w:r w:rsidRPr="00407000">
              <w:rPr>
                <w:sz w:val="32"/>
                <w:szCs w:val="32"/>
              </w:rPr>
              <w:sym w:font="Wingdings" w:char="F04B"/>
            </w:r>
          </w:p>
        </w:tc>
      </w:tr>
      <w:tr w:rsidR="00F84F32" w:rsidRPr="00407000" w:rsidTr="003F7369">
        <w:tc>
          <w:tcPr>
            <w:tcW w:w="560" w:type="dxa"/>
            <w:vMerge/>
            <w:tcBorders>
              <w:bottom w:val="single" w:sz="12" w:space="0" w:color="000000"/>
            </w:tcBorders>
          </w:tcPr>
          <w:p w:rsidR="00F84F32" w:rsidRPr="00407000" w:rsidRDefault="00F84F32" w:rsidP="00407000">
            <w:pPr>
              <w:widowControl/>
              <w:ind w:firstLine="0"/>
              <w:jc w:val="left"/>
              <w:rPr>
                <w:color w:val="000000"/>
                <w:sz w:val="18"/>
                <w:szCs w:val="18"/>
              </w:rPr>
            </w:pPr>
          </w:p>
        </w:tc>
        <w:tc>
          <w:tcPr>
            <w:tcW w:w="627" w:type="dxa"/>
            <w:tcBorders>
              <w:bottom w:val="single" w:sz="12" w:space="0" w:color="000000"/>
            </w:tcBorders>
            <w:vAlign w:val="center"/>
          </w:tcPr>
          <w:p w:rsidR="00F84F32" w:rsidRPr="00407000" w:rsidRDefault="00F84F32" w:rsidP="00BF7C7F">
            <w:pPr>
              <w:ind w:firstLine="27"/>
              <w:jc w:val="center"/>
              <w:rPr>
                <w:sz w:val="18"/>
                <w:szCs w:val="18"/>
              </w:rPr>
            </w:pPr>
            <w:r w:rsidRPr="00407000">
              <w:rPr>
                <w:sz w:val="18"/>
                <w:szCs w:val="18"/>
              </w:rPr>
              <w:t>31.</w:t>
            </w:r>
          </w:p>
        </w:tc>
        <w:tc>
          <w:tcPr>
            <w:tcW w:w="2593" w:type="dxa"/>
            <w:tcBorders>
              <w:bottom w:val="single" w:sz="12" w:space="0" w:color="000000"/>
            </w:tcBorders>
          </w:tcPr>
          <w:p w:rsidR="00F84F32" w:rsidRPr="00407000" w:rsidRDefault="00F84F32" w:rsidP="00407000">
            <w:pPr>
              <w:ind w:firstLine="0"/>
              <w:jc w:val="left"/>
              <w:rPr>
                <w:sz w:val="18"/>
                <w:szCs w:val="18"/>
              </w:rPr>
            </w:pPr>
            <w:r w:rsidRPr="00407000">
              <w:rPr>
                <w:sz w:val="18"/>
                <w:szCs w:val="18"/>
              </w:rPr>
              <w:t>Počet akcí obnovy památek v majetku města a vynaložená částka za rok (počet/</w:t>
            </w:r>
            <w:r>
              <w:rPr>
                <w:sz w:val="18"/>
                <w:szCs w:val="18"/>
              </w:rPr>
              <w:t xml:space="preserve">mil. </w:t>
            </w:r>
            <w:r w:rsidRPr="00407000">
              <w:rPr>
                <w:sz w:val="18"/>
                <w:szCs w:val="18"/>
              </w:rPr>
              <w:t>Kč)</w:t>
            </w:r>
          </w:p>
        </w:tc>
        <w:tc>
          <w:tcPr>
            <w:tcW w:w="1620" w:type="dxa"/>
            <w:tcBorders>
              <w:bottom w:val="single" w:sz="12" w:space="0" w:color="000000"/>
            </w:tcBorders>
            <w:vAlign w:val="center"/>
          </w:tcPr>
          <w:p w:rsidR="00F84F32" w:rsidRPr="00407000" w:rsidRDefault="00F84F32" w:rsidP="002D6232">
            <w:pPr>
              <w:widowControl/>
              <w:ind w:firstLine="0"/>
              <w:jc w:val="center"/>
              <w:rPr>
                <w:sz w:val="18"/>
                <w:szCs w:val="18"/>
              </w:rPr>
            </w:pPr>
            <w:r w:rsidRPr="00407000">
              <w:rPr>
                <w:sz w:val="18"/>
                <w:szCs w:val="18"/>
              </w:rPr>
              <w:t>9 / 21,672 mil. Kč</w:t>
            </w:r>
          </w:p>
        </w:tc>
        <w:tc>
          <w:tcPr>
            <w:tcW w:w="1197" w:type="dxa"/>
            <w:tcBorders>
              <w:bottom w:val="single" w:sz="12" w:space="0" w:color="000000"/>
            </w:tcBorders>
            <w:vAlign w:val="center"/>
          </w:tcPr>
          <w:p w:rsidR="00F84F32" w:rsidRPr="00407000" w:rsidRDefault="00F84F32" w:rsidP="002D6232">
            <w:pPr>
              <w:widowControl/>
              <w:ind w:firstLine="0"/>
              <w:jc w:val="center"/>
              <w:rPr>
                <w:sz w:val="18"/>
                <w:szCs w:val="18"/>
              </w:rPr>
            </w:pPr>
            <w:r w:rsidRPr="00407000">
              <w:rPr>
                <w:rFonts w:eastAsia="MS Mincho"/>
                <w:spacing w:val="4"/>
                <w:sz w:val="18"/>
                <w:szCs w:val="18"/>
                <w:lang w:eastAsia="en-US"/>
              </w:rPr>
              <w:t>nebyl stanoven</w:t>
            </w:r>
          </w:p>
        </w:tc>
        <w:tc>
          <w:tcPr>
            <w:tcW w:w="1213" w:type="dxa"/>
            <w:tcBorders>
              <w:bottom w:val="single" w:sz="12" w:space="0" w:color="000000"/>
            </w:tcBorders>
            <w:vAlign w:val="center"/>
          </w:tcPr>
          <w:p w:rsidR="00F84F32" w:rsidRPr="00407000" w:rsidRDefault="00F84F32" w:rsidP="002D6232">
            <w:pPr>
              <w:widowControl/>
              <w:ind w:firstLine="0"/>
              <w:jc w:val="center"/>
              <w:rPr>
                <w:sz w:val="18"/>
                <w:szCs w:val="18"/>
              </w:rPr>
            </w:pPr>
            <w:r w:rsidRPr="00FF37D5">
              <w:rPr>
                <w:rFonts w:eastAsia="MS Mincho"/>
                <w:spacing w:val="4"/>
                <w:sz w:val="18"/>
                <w:szCs w:val="18"/>
                <w:lang w:eastAsia="en-US"/>
              </w:rPr>
              <w:t>↑</w:t>
            </w:r>
          </w:p>
        </w:tc>
        <w:tc>
          <w:tcPr>
            <w:tcW w:w="947" w:type="dxa"/>
            <w:tcBorders>
              <w:bottom w:val="single" w:sz="12" w:space="0" w:color="000000"/>
            </w:tcBorders>
            <w:vAlign w:val="center"/>
          </w:tcPr>
          <w:p w:rsidR="00F84F32" w:rsidRPr="00407000" w:rsidRDefault="00F84F32" w:rsidP="002D6232">
            <w:pPr>
              <w:widowControl/>
              <w:ind w:firstLine="0"/>
              <w:jc w:val="center"/>
              <w:rPr>
                <w:sz w:val="18"/>
                <w:szCs w:val="18"/>
              </w:rPr>
            </w:pPr>
            <w:r>
              <w:rPr>
                <w:sz w:val="18"/>
                <w:szCs w:val="18"/>
              </w:rPr>
              <w:t>4</w:t>
            </w:r>
            <w:r w:rsidRPr="00407000">
              <w:rPr>
                <w:sz w:val="18"/>
                <w:szCs w:val="18"/>
              </w:rPr>
              <w:t xml:space="preserve"> /</w:t>
            </w:r>
            <w:r>
              <w:rPr>
                <w:sz w:val="18"/>
                <w:szCs w:val="18"/>
              </w:rPr>
              <w:t xml:space="preserve"> 59,539</w:t>
            </w:r>
            <w:r w:rsidRPr="00407000">
              <w:rPr>
                <w:sz w:val="18"/>
                <w:szCs w:val="18"/>
              </w:rPr>
              <w:t xml:space="preserve"> mil. Kč</w:t>
            </w:r>
          </w:p>
        </w:tc>
        <w:tc>
          <w:tcPr>
            <w:tcW w:w="856" w:type="dxa"/>
            <w:tcBorders>
              <w:bottom w:val="single" w:sz="12" w:space="0" w:color="000000"/>
            </w:tcBorders>
            <w:shd w:val="clear" w:color="auto" w:fill="99CC00"/>
            <w:vAlign w:val="center"/>
          </w:tcPr>
          <w:p w:rsidR="00F84F32" w:rsidRPr="00407000" w:rsidRDefault="00F84F32" w:rsidP="002D6232">
            <w:pPr>
              <w:widowControl/>
              <w:ind w:firstLine="0"/>
              <w:jc w:val="center"/>
              <w:rPr>
                <w:sz w:val="16"/>
                <w:szCs w:val="16"/>
              </w:rPr>
            </w:pPr>
            <w:r w:rsidRPr="00407000">
              <w:rPr>
                <w:sz w:val="32"/>
                <w:szCs w:val="32"/>
              </w:rPr>
              <w:sym w:font="Wingdings" w:char="F04A"/>
            </w:r>
          </w:p>
        </w:tc>
      </w:tr>
    </w:tbl>
    <w:p w:rsidR="00F84F32" w:rsidRDefault="00F84F32" w:rsidP="00407000"/>
    <w:p w:rsidR="00A70F90" w:rsidRPr="00407000" w:rsidRDefault="00A70F90" w:rsidP="00407000"/>
    <w:p w:rsidR="00F84F32" w:rsidRPr="00407000" w:rsidRDefault="00F84F32" w:rsidP="00407000">
      <w:pPr>
        <w:ind w:firstLine="0"/>
        <w:rPr>
          <w:b/>
        </w:rPr>
      </w:pPr>
      <w:r w:rsidRPr="00407000">
        <w:rPr>
          <w:b/>
        </w:rPr>
        <w:lastRenderedPageBreak/>
        <w:t xml:space="preserve">Opatření 3.3.1 Uplatňování principů památkové péče v historickém centru města </w:t>
      </w:r>
    </w:p>
    <w:p w:rsidR="00F84F32" w:rsidRPr="00407000" w:rsidRDefault="00F84F32" w:rsidP="00407000">
      <w:pPr>
        <w:ind w:firstLine="0"/>
        <w:rPr>
          <w:snapToGrid w:val="0"/>
        </w:rPr>
      </w:pPr>
      <w:r w:rsidRPr="00407000">
        <w:rPr>
          <w:u w:val="single"/>
        </w:rPr>
        <w:t>Stav opatření:</w:t>
      </w:r>
      <w:r w:rsidRPr="00407000">
        <w:rPr>
          <w:snapToGrid w:val="0"/>
        </w:rPr>
        <w:t xml:space="preserve"> </w:t>
      </w:r>
    </w:p>
    <w:p w:rsidR="00F84F32" w:rsidRDefault="00F84F32" w:rsidP="00407000">
      <w:pPr>
        <w:rPr>
          <w:snapToGrid w:val="0"/>
        </w:rPr>
      </w:pPr>
      <w:r w:rsidRPr="00407000">
        <w:t xml:space="preserve">Principy památkové péče jsou soustavně uplatňovány ze strany státní památkové péče. Město má zpracovaný </w:t>
      </w:r>
      <w:r w:rsidRPr="00407000">
        <w:rPr>
          <w:snapToGrid w:val="0"/>
          <w:szCs w:val="20"/>
        </w:rPr>
        <w:t>Program regenerace Městské památkové rezervace Olomouc, který byl aktualizov</w:t>
      </w:r>
      <w:r>
        <w:rPr>
          <w:snapToGrid w:val="0"/>
          <w:szCs w:val="20"/>
        </w:rPr>
        <w:t>án</w:t>
      </w:r>
      <w:r w:rsidRPr="00407000">
        <w:rPr>
          <w:snapToGrid w:val="0"/>
          <w:szCs w:val="20"/>
        </w:rPr>
        <w:t xml:space="preserve"> pro období 2018–2023. Z dotačního titulu v rámci </w:t>
      </w:r>
      <w:r w:rsidRPr="00407000">
        <w:rPr>
          <w:snapToGrid w:val="0"/>
        </w:rPr>
        <w:t>Programu regenerace městských památkových rezervací a městských památkových zón byly v roce 20</w:t>
      </w:r>
      <w:r>
        <w:rPr>
          <w:snapToGrid w:val="0"/>
        </w:rPr>
        <w:t>20</w:t>
      </w:r>
      <w:r w:rsidRPr="00407000">
        <w:rPr>
          <w:snapToGrid w:val="0"/>
        </w:rPr>
        <w:t xml:space="preserve"> podpořeny celkem 4 akce s finančním podílem města </w:t>
      </w:r>
      <w:r>
        <w:rPr>
          <w:snapToGrid w:val="0"/>
        </w:rPr>
        <w:t>800</w:t>
      </w:r>
      <w:r w:rsidRPr="00407000">
        <w:rPr>
          <w:snapToGrid w:val="0"/>
        </w:rPr>
        <w:t xml:space="preserve"> tis. Kč a finančním podílem Ministerstva kultury ČR </w:t>
      </w:r>
      <w:r>
        <w:rPr>
          <w:snapToGrid w:val="0"/>
        </w:rPr>
        <w:t xml:space="preserve">3 225 </w:t>
      </w:r>
      <w:r w:rsidRPr="00407000">
        <w:rPr>
          <w:snapToGrid w:val="0"/>
        </w:rPr>
        <w:t>tis. Kč.</w:t>
      </w:r>
    </w:p>
    <w:p w:rsidR="00F84F32" w:rsidRPr="00407000" w:rsidRDefault="00F84F32" w:rsidP="00407000">
      <w:pPr>
        <w:rPr>
          <w:snapToGrid w:val="0"/>
        </w:rPr>
      </w:pPr>
    </w:p>
    <w:p w:rsidR="00F84F32" w:rsidRPr="00407000" w:rsidRDefault="00F84F32" w:rsidP="00407000">
      <w:pPr>
        <w:ind w:firstLine="0"/>
        <w:rPr>
          <w:b/>
        </w:rPr>
      </w:pPr>
      <w:r w:rsidRPr="00407000">
        <w:rPr>
          <w:b/>
        </w:rPr>
        <w:t xml:space="preserve">Opatření 3.3.2 Nastavení koncepčního přístupu při rozvoji a zkvalitnění veřejných prostranství, architektonické tváře města a jeho prostředí </w:t>
      </w:r>
    </w:p>
    <w:p w:rsidR="00F84F32" w:rsidRPr="00407000" w:rsidRDefault="00F84F32" w:rsidP="00407000">
      <w:pPr>
        <w:ind w:firstLine="0"/>
        <w:rPr>
          <w:u w:val="single"/>
        </w:rPr>
      </w:pPr>
      <w:r w:rsidRPr="00407000">
        <w:rPr>
          <w:u w:val="single"/>
        </w:rPr>
        <w:t>Stav opatření:</w:t>
      </w:r>
    </w:p>
    <w:p w:rsidR="00F84F32" w:rsidRPr="00407000" w:rsidRDefault="00F84F32" w:rsidP="00407000">
      <w:r w:rsidRPr="00407000">
        <w:t xml:space="preserve">Organizační změnou byl od 1. 9. 2019 ustaven útvar hlavního architekta jako </w:t>
      </w:r>
      <w:r>
        <w:t>jedno z </w:t>
      </w:r>
      <w:r w:rsidRPr="00407000">
        <w:t xml:space="preserve">oddělení odboru strategie a řízení s celkovým </w:t>
      </w:r>
      <w:r>
        <w:t xml:space="preserve">počtem 11 pracovních míst. </w:t>
      </w:r>
      <w:r w:rsidRPr="00407000">
        <w:t>Útvar hlavního architekta průběžně pracoval na přípravě materiálů týkajících se zkvalitňování veřejných prostranství</w:t>
      </w:r>
      <w:r>
        <w:t>.</w:t>
      </w:r>
      <w:r w:rsidRPr="00407000">
        <w:t xml:space="preserve"> </w:t>
      </w:r>
      <w:r>
        <w:t xml:space="preserve">V roce 2020 se pracovalo na </w:t>
      </w:r>
      <w:r w:rsidRPr="00407000">
        <w:t>Metodi</w:t>
      </w:r>
      <w:r>
        <w:t>ce</w:t>
      </w:r>
      <w:r w:rsidRPr="00407000">
        <w:t xml:space="preserve"> vzhledu parteru v MPR (reklamní zařízení, výkladce)</w:t>
      </w:r>
      <w:r>
        <w:t xml:space="preserve"> a</w:t>
      </w:r>
      <w:r w:rsidRPr="00407000">
        <w:t xml:space="preserve"> Metodi</w:t>
      </w:r>
      <w:r>
        <w:t>ce</w:t>
      </w:r>
      <w:r w:rsidRPr="00407000">
        <w:t xml:space="preserve"> pro předzahrádky</w:t>
      </w:r>
      <w:r>
        <w:t>. Dále byly dokončeny</w:t>
      </w:r>
      <w:r w:rsidRPr="00407000">
        <w:t xml:space="preserve"> Městské standardy objektů hospodaření s dešťovými vodami a modrozelené infrastruktury</w:t>
      </w:r>
      <w:r>
        <w:t>, bylo zadáno zpracování Koncepce veřejných prostranství s termínem dokončení v roce 2022, byly zpracovány studie a investiční záměry úprav veřejných prostranství (náměstí Národních Hrdinů, nároží Foerstrova-Kmochova-Dobnerova, ulice Železniční, ulice Šlechtitelů, tramvajová zastávka na Žižkově náměstí), územní studie, které koncepčně řeší území včetně veřejných prostranství (Rolsberk, Andělská).</w:t>
      </w:r>
      <w:r w:rsidRPr="00407000">
        <w:t xml:space="preserve"> </w:t>
      </w:r>
    </w:p>
    <w:p w:rsidR="00F84F32" w:rsidRPr="00407000" w:rsidRDefault="00F84F32" w:rsidP="00AD01FB"/>
    <w:p w:rsidR="00F84F32" w:rsidRPr="00407000" w:rsidRDefault="00F84F32" w:rsidP="00407000">
      <w:pPr>
        <w:ind w:firstLine="0"/>
        <w:rPr>
          <w:b/>
        </w:rPr>
      </w:pPr>
      <w:r w:rsidRPr="00407000">
        <w:rPr>
          <w:b/>
        </w:rPr>
        <w:t xml:space="preserve">Opatření 3.3.3 Rozvoj urbánních center mimo historické centrum města </w:t>
      </w:r>
    </w:p>
    <w:p w:rsidR="00F84F32" w:rsidRPr="005D4C85" w:rsidRDefault="00F84F32" w:rsidP="005D4C85">
      <w:pPr>
        <w:ind w:firstLine="0"/>
        <w:rPr>
          <w:u w:val="single"/>
        </w:rPr>
      </w:pPr>
      <w:r w:rsidRPr="00407000">
        <w:rPr>
          <w:u w:val="single"/>
        </w:rPr>
        <w:t>Stav opatření:</w:t>
      </w:r>
    </w:p>
    <w:p w:rsidR="00F84F32" w:rsidRDefault="00F84F32" w:rsidP="00AD01FB">
      <w:r w:rsidRPr="002C447E">
        <w:t>Byla zpracována studie úprav veřejných prostranství nároží Foerstrova-Kmochova-Dobnerova v prostoru, který je urbánním centrem navazujícího sídliště, bylo zahájeno zpracování studie úprav veřejného prostranství návsi v Droždíně včetně variantního prověření umístění tělocvičny, byla zpracována studie úprav veřejného prostranství v centrální část</w:t>
      </w:r>
      <w:r>
        <w:t>i Nemilan (studii zadávala KMČ), dále</w:t>
      </w:r>
      <w:r w:rsidRPr="002C447E">
        <w:t xml:space="preserve"> byla zpracována projektová dokumentace úprav parkové zeleně u kapličky v centrální části síd</w:t>
      </w:r>
      <w:r>
        <w:t>liště Nové Sady.</w:t>
      </w:r>
    </w:p>
    <w:p w:rsidR="00F84F32" w:rsidRPr="005D4C85" w:rsidRDefault="00F84F32" w:rsidP="00AD01FB"/>
    <w:p w:rsidR="00F84F32" w:rsidRPr="00407000" w:rsidRDefault="00F84F32" w:rsidP="00407000">
      <w:pPr>
        <w:ind w:firstLine="0"/>
        <w:rPr>
          <w:b/>
        </w:rPr>
      </w:pPr>
      <w:r w:rsidRPr="00407000">
        <w:rPr>
          <w:b/>
        </w:rPr>
        <w:t>Opatření 3.3.4 Zvýšení kvality, ochrany a péče o městskou zeleň a zajištění jejího rozvoje</w:t>
      </w:r>
      <w:r>
        <w:rPr>
          <w:b/>
        </w:rPr>
        <w:t xml:space="preserve"> </w:t>
      </w:r>
    </w:p>
    <w:p w:rsidR="00F84F32" w:rsidRPr="00407000" w:rsidRDefault="00F84F32" w:rsidP="00407000">
      <w:pPr>
        <w:ind w:firstLine="0"/>
        <w:rPr>
          <w:u w:val="single"/>
        </w:rPr>
      </w:pPr>
      <w:r w:rsidRPr="00407000">
        <w:rPr>
          <w:u w:val="single"/>
        </w:rPr>
        <w:t>Stav opatření:</w:t>
      </w:r>
    </w:p>
    <w:p w:rsidR="00F84F32" w:rsidRPr="00407000" w:rsidRDefault="00F84F32" w:rsidP="00AD01FB">
      <w:r w:rsidRPr="00407000">
        <w:t>Statutární město Olomouc v roce 20</w:t>
      </w:r>
      <w:r>
        <w:t>20</w:t>
      </w:r>
      <w:r w:rsidRPr="00407000">
        <w:t xml:space="preserve"> realizovalo opatření vedoucí ke zvýšení kvality městské zeleně</w:t>
      </w:r>
      <w:r>
        <w:t>,</w:t>
      </w:r>
      <w:r w:rsidRPr="00407000">
        <w:t xml:space="preserve"> a to především výsadbou liniových stromořadí a keřových výsadeb.</w:t>
      </w:r>
      <w:r>
        <w:t xml:space="preserve"> </w:t>
      </w:r>
      <w:r w:rsidRPr="00E85422">
        <w:t>Byl</w:t>
      </w:r>
      <w:r>
        <w:t>o</w:t>
      </w:r>
      <w:r w:rsidRPr="00E85422">
        <w:t xml:space="preserve"> doplňován</w:t>
      </w:r>
      <w:r>
        <w:t>o</w:t>
      </w:r>
      <w:r w:rsidRPr="00E85422">
        <w:t xml:space="preserve"> stromořadí v dalších lokalitách, jako je ulice Vídeňská</w:t>
      </w:r>
      <w:r>
        <w:t>,</w:t>
      </w:r>
      <w:r w:rsidRPr="00E85422">
        <w:t xml:space="preserve"> na ulici Legionářská, doplněny byly stromy i v ulicích Karolíny Světlé, Schweitzerova a v Řepčíně. V rámci celonárodní akce „Sázíme budoucnost“ bylo doplněno lipové stromořadí </w:t>
      </w:r>
      <w:r>
        <w:t>v</w:t>
      </w:r>
      <w:r w:rsidRPr="00E85422">
        <w:t xml:space="preserve"> Parčíku u</w:t>
      </w:r>
      <w:r>
        <w:t> </w:t>
      </w:r>
      <w:r w:rsidRPr="00E85422">
        <w:t>Hamrysu. Město se snažilo opět obnovit tradici květinových výsadeb v  Olomouci prostřednictvím Výstaviště Flora Olomouc. V historických parcích bylo obnoveno a vysázeno 12 záhonů a 6 záhonů mimo par</w:t>
      </w:r>
      <w:r>
        <w:t>ky na městských třídách (Na Stře</w:t>
      </w:r>
      <w:r w:rsidRPr="00E85422">
        <w:t>lnici, U Šantovky</w:t>
      </w:r>
      <w:r>
        <w:t>, na tř. Svobody, na Foersterově</w:t>
      </w:r>
      <w:r w:rsidRPr="00E85422">
        <w:t>, na Hodolanské a na ulici I.</w:t>
      </w:r>
      <w:r>
        <w:t xml:space="preserve"> </w:t>
      </w:r>
      <w:r w:rsidRPr="00E85422">
        <w:t>P.</w:t>
      </w:r>
      <w:r>
        <w:t xml:space="preserve"> </w:t>
      </w:r>
      <w:r w:rsidRPr="00E85422">
        <w:t>Pavlova). Ve městě Olomouci se v</w:t>
      </w:r>
      <w:r>
        <w:t> </w:t>
      </w:r>
      <w:r w:rsidRPr="00E85422">
        <w:t>roce 2020 vysadilo 595 m</w:t>
      </w:r>
      <w:r w:rsidRPr="00E85422">
        <w:rPr>
          <w:vertAlign w:val="superscript"/>
        </w:rPr>
        <w:t>2</w:t>
      </w:r>
      <w:r w:rsidRPr="00E85422">
        <w:t xml:space="preserve"> stromů, 423 m</w:t>
      </w:r>
      <w:r w:rsidRPr="00E85422">
        <w:rPr>
          <w:vertAlign w:val="superscript"/>
        </w:rPr>
        <w:t>2</w:t>
      </w:r>
      <w:r>
        <w:t xml:space="preserve"> keřů a 1 </w:t>
      </w:r>
      <w:r w:rsidRPr="00E85422">
        <w:t>585 m</w:t>
      </w:r>
      <w:r w:rsidRPr="00E85422">
        <w:rPr>
          <w:vertAlign w:val="superscript"/>
        </w:rPr>
        <w:t>2</w:t>
      </w:r>
      <w:r w:rsidRPr="00E85422">
        <w:t xml:space="preserve"> květinových záhonů.</w:t>
      </w:r>
      <w:r w:rsidRPr="00407000">
        <w:t xml:space="preserve"> </w:t>
      </w:r>
      <w:r>
        <w:t xml:space="preserve">Celkově se jedná </w:t>
      </w:r>
      <w:r w:rsidRPr="00407000">
        <w:t xml:space="preserve">o </w:t>
      </w:r>
      <w:r>
        <w:t>2 603</w:t>
      </w:r>
      <w:r w:rsidRPr="00407000">
        <w:t xml:space="preserve"> m</w:t>
      </w:r>
      <w:r w:rsidRPr="00407000">
        <w:rPr>
          <w:vertAlign w:val="superscript"/>
        </w:rPr>
        <w:t>2</w:t>
      </w:r>
      <w:r w:rsidRPr="00407000">
        <w:t xml:space="preserve"> zeleně.</w:t>
      </w:r>
    </w:p>
    <w:p w:rsidR="00F84F32" w:rsidRPr="00407000" w:rsidRDefault="00F84F32" w:rsidP="00AD01FB">
      <w:r>
        <w:lastRenderedPageBreak/>
        <w:t>Dále byl zpracován Program rozvoje historických parků. Tento dlouhodobý plán rozvoje čerpá nejen z historických dokumentů, ale i ze současných trendů krátkodobé rekreace ve městě.</w:t>
      </w:r>
    </w:p>
    <w:p w:rsidR="00F84F32" w:rsidRDefault="00F84F32" w:rsidP="00407000"/>
    <w:p w:rsidR="00F84F32" w:rsidRPr="00407000" w:rsidRDefault="00F84F32" w:rsidP="00407000"/>
    <w:p w:rsidR="00F84F32" w:rsidRPr="00407000" w:rsidRDefault="00F84F32" w:rsidP="00407000">
      <w:pPr>
        <w:shd w:val="clear" w:color="auto" w:fill="EAF1DD"/>
        <w:ind w:firstLine="0"/>
        <w:rPr>
          <w:b/>
        </w:rPr>
      </w:pPr>
      <w:r w:rsidRPr="00407000">
        <w:rPr>
          <w:b/>
        </w:rPr>
        <w:t>Cíl 3.4 Zlepšit vodní režim krajiny, její ekologickou stabilitu a vybudovat protipovodňovou ochranu města</w:t>
      </w:r>
    </w:p>
    <w:p w:rsidR="00F84F32" w:rsidRPr="00407000" w:rsidRDefault="00F84F32" w:rsidP="00407000"/>
    <w:tbl>
      <w:tblPr>
        <w:tblW w:w="9652"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37"/>
        <w:gridCol w:w="1676"/>
        <w:gridCol w:w="1134"/>
        <w:gridCol w:w="1275"/>
        <w:gridCol w:w="993"/>
        <w:gridCol w:w="850"/>
      </w:tblGrid>
      <w:tr w:rsidR="00F84F32" w:rsidRPr="00407000" w:rsidTr="001F7A94">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3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078"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85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F1022F">
        <w:tc>
          <w:tcPr>
            <w:tcW w:w="560" w:type="dxa"/>
            <w:vMerge/>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Pr>
          <w:p w:rsidR="00F84F32" w:rsidRPr="00407000" w:rsidRDefault="00F84F32" w:rsidP="00407000">
            <w:pPr>
              <w:widowControl/>
              <w:ind w:firstLine="0"/>
              <w:jc w:val="left"/>
              <w:rPr>
                <w:rFonts w:eastAsia="MS Mincho"/>
                <w:b/>
                <w:spacing w:val="4"/>
                <w:sz w:val="18"/>
                <w:szCs w:val="18"/>
                <w:lang w:eastAsia="en-US"/>
              </w:rPr>
            </w:pPr>
          </w:p>
        </w:tc>
        <w:tc>
          <w:tcPr>
            <w:tcW w:w="2537" w:type="dxa"/>
            <w:vMerge/>
          </w:tcPr>
          <w:p w:rsidR="00F84F32" w:rsidRPr="00407000" w:rsidRDefault="00F84F32" w:rsidP="00407000">
            <w:pPr>
              <w:widowControl/>
              <w:ind w:firstLine="0"/>
              <w:jc w:val="left"/>
              <w:rPr>
                <w:rFonts w:eastAsia="MS Mincho"/>
                <w:b/>
                <w:spacing w:val="4"/>
                <w:sz w:val="18"/>
                <w:szCs w:val="18"/>
                <w:lang w:eastAsia="en-US"/>
              </w:rPr>
            </w:pPr>
          </w:p>
        </w:tc>
        <w:tc>
          <w:tcPr>
            <w:tcW w:w="1676" w:type="dxa"/>
            <w:shd w:val="clear" w:color="auto" w:fill="BFBFBF"/>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34" w:type="dxa"/>
            <w:shd w:val="clear" w:color="auto" w:fill="BFBFBF"/>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75" w:type="dxa"/>
            <w:shd w:val="clear" w:color="auto" w:fill="BFBFBF"/>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993" w:type="dxa"/>
            <w:shd w:val="clear" w:color="auto" w:fill="BFBFBF"/>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850" w:type="dxa"/>
            <w:vMerge/>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2C447E">
        <w:tc>
          <w:tcPr>
            <w:tcW w:w="560" w:type="dxa"/>
            <w:vMerge w:val="restart"/>
            <w:vAlign w:val="center"/>
          </w:tcPr>
          <w:p w:rsidR="00F84F32" w:rsidRPr="00407000" w:rsidRDefault="00F84F32" w:rsidP="00BF7C7F">
            <w:pPr>
              <w:ind w:firstLine="0"/>
              <w:jc w:val="center"/>
              <w:rPr>
                <w:color w:val="000000"/>
                <w:sz w:val="18"/>
                <w:szCs w:val="18"/>
              </w:rPr>
            </w:pPr>
            <w:r w:rsidRPr="00407000">
              <w:rPr>
                <w:color w:val="000000"/>
                <w:sz w:val="18"/>
                <w:szCs w:val="18"/>
              </w:rPr>
              <w:t>3.4</w:t>
            </w:r>
          </w:p>
        </w:tc>
        <w:tc>
          <w:tcPr>
            <w:tcW w:w="627" w:type="dxa"/>
            <w:vAlign w:val="center"/>
          </w:tcPr>
          <w:p w:rsidR="00F84F32" w:rsidRPr="00407000" w:rsidRDefault="00F84F32" w:rsidP="00BF7C7F">
            <w:pPr>
              <w:ind w:firstLine="27"/>
              <w:jc w:val="center"/>
              <w:rPr>
                <w:sz w:val="18"/>
                <w:szCs w:val="18"/>
              </w:rPr>
            </w:pPr>
            <w:r w:rsidRPr="00407000">
              <w:rPr>
                <w:sz w:val="18"/>
                <w:szCs w:val="18"/>
              </w:rPr>
              <w:t>32.</w:t>
            </w:r>
          </w:p>
        </w:tc>
        <w:tc>
          <w:tcPr>
            <w:tcW w:w="2537" w:type="dxa"/>
          </w:tcPr>
          <w:p w:rsidR="00F84F32" w:rsidRPr="00407000" w:rsidRDefault="00F84F32" w:rsidP="00407000">
            <w:pPr>
              <w:ind w:firstLine="0"/>
              <w:jc w:val="left"/>
              <w:rPr>
                <w:sz w:val="18"/>
                <w:szCs w:val="18"/>
              </w:rPr>
            </w:pPr>
            <w:r w:rsidRPr="00407000">
              <w:rPr>
                <w:sz w:val="18"/>
                <w:szCs w:val="18"/>
              </w:rPr>
              <w:t>Počet dokončených realizací vyplývajících z územního plánu v oblasti tvorby krajiny (počet)</w:t>
            </w:r>
          </w:p>
        </w:tc>
        <w:tc>
          <w:tcPr>
            <w:tcW w:w="1676" w:type="dxa"/>
            <w:vAlign w:val="center"/>
          </w:tcPr>
          <w:p w:rsidR="00F84F32" w:rsidRPr="00407000" w:rsidRDefault="00F84F32" w:rsidP="001F7A94">
            <w:pPr>
              <w:widowControl/>
              <w:ind w:firstLine="0"/>
              <w:jc w:val="center"/>
              <w:rPr>
                <w:sz w:val="18"/>
                <w:szCs w:val="18"/>
              </w:rPr>
            </w:pPr>
            <w:r w:rsidRPr="00407000">
              <w:rPr>
                <w:sz w:val="18"/>
                <w:szCs w:val="18"/>
              </w:rPr>
              <w:t>n.a.</w:t>
            </w:r>
          </w:p>
        </w:tc>
        <w:tc>
          <w:tcPr>
            <w:tcW w:w="1134" w:type="dxa"/>
            <w:vAlign w:val="center"/>
          </w:tcPr>
          <w:p w:rsidR="00F84F32" w:rsidRPr="00407000" w:rsidRDefault="00F84F32" w:rsidP="001F7A94">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75" w:type="dxa"/>
            <w:vAlign w:val="center"/>
          </w:tcPr>
          <w:p w:rsidR="00F84F32" w:rsidRPr="00BF7C7F" w:rsidRDefault="00F84F32" w:rsidP="001F7A94">
            <w:pPr>
              <w:widowControl/>
              <w:ind w:firstLine="0"/>
              <w:jc w:val="center"/>
              <w:rPr>
                <w:rFonts w:eastAsia="MS Mincho"/>
                <w:spacing w:val="4"/>
                <w:sz w:val="18"/>
                <w:szCs w:val="18"/>
                <w:lang w:eastAsia="en-US"/>
              </w:rPr>
            </w:pPr>
            <w:r w:rsidRPr="00BF7C7F">
              <w:rPr>
                <w:rFonts w:eastAsia="MS Mincho"/>
                <w:spacing w:val="4"/>
                <w:sz w:val="18"/>
                <w:szCs w:val="18"/>
                <w:lang w:eastAsia="en-US"/>
              </w:rPr>
              <w:t>↑</w:t>
            </w:r>
          </w:p>
        </w:tc>
        <w:tc>
          <w:tcPr>
            <w:tcW w:w="993" w:type="dxa"/>
            <w:vAlign w:val="center"/>
          </w:tcPr>
          <w:p w:rsidR="00F84F32" w:rsidRPr="00407000" w:rsidRDefault="00F84F32" w:rsidP="001F7A94">
            <w:pPr>
              <w:widowControl/>
              <w:ind w:firstLine="0"/>
              <w:jc w:val="center"/>
              <w:rPr>
                <w:sz w:val="18"/>
                <w:szCs w:val="18"/>
              </w:rPr>
            </w:pPr>
            <w:r>
              <w:rPr>
                <w:sz w:val="18"/>
                <w:szCs w:val="18"/>
              </w:rPr>
              <w:t>0</w:t>
            </w:r>
          </w:p>
        </w:tc>
        <w:tc>
          <w:tcPr>
            <w:tcW w:w="850" w:type="dxa"/>
            <w:shd w:val="clear" w:color="auto" w:fill="FF0000"/>
            <w:vAlign w:val="center"/>
          </w:tcPr>
          <w:p w:rsidR="00F84F32" w:rsidRPr="00407000" w:rsidRDefault="00F84F32" w:rsidP="001F7A94">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A33795">
        <w:tc>
          <w:tcPr>
            <w:tcW w:w="560" w:type="dxa"/>
            <w:vMerge/>
            <w:tcBorders>
              <w:bottom w:val="single" w:sz="12" w:space="0" w:color="000000"/>
            </w:tcBorders>
          </w:tcPr>
          <w:p w:rsidR="00F84F32" w:rsidRPr="00407000" w:rsidRDefault="00F84F32" w:rsidP="00407000">
            <w:pPr>
              <w:widowControl/>
              <w:ind w:firstLine="0"/>
              <w:jc w:val="left"/>
              <w:rPr>
                <w:color w:val="000000"/>
                <w:sz w:val="18"/>
                <w:szCs w:val="18"/>
              </w:rPr>
            </w:pPr>
          </w:p>
        </w:tc>
        <w:tc>
          <w:tcPr>
            <w:tcW w:w="627" w:type="dxa"/>
            <w:tcBorders>
              <w:bottom w:val="single" w:sz="12" w:space="0" w:color="000000"/>
            </w:tcBorders>
            <w:vAlign w:val="center"/>
          </w:tcPr>
          <w:p w:rsidR="00F84F32" w:rsidRPr="00407000" w:rsidRDefault="00F84F32" w:rsidP="00BF7C7F">
            <w:pPr>
              <w:ind w:firstLine="27"/>
              <w:jc w:val="center"/>
              <w:rPr>
                <w:color w:val="000000"/>
                <w:sz w:val="18"/>
                <w:szCs w:val="18"/>
              </w:rPr>
            </w:pPr>
            <w:r w:rsidRPr="00407000">
              <w:rPr>
                <w:color w:val="000000"/>
                <w:sz w:val="18"/>
                <w:szCs w:val="18"/>
              </w:rPr>
              <w:t>33.</w:t>
            </w:r>
          </w:p>
        </w:tc>
        <w:tc>
          <w:tcPr>
            <w:tcW w:w="2537" w:type="dxa"/>
            <w:tcBorders>
              <w:bottom w:val="single" w:sz="12" w:space="0" w:color="000000"/>
            </w:tcBorders>
          </w:tcPr>
          <w:p w:rsidR="00F84F32" w:rsidRPr="00407000" w:rsidRDefault="00F84F32" w:rsidP="00407000">
            <w:pPr>
              <w:ind w:firstLine="0"/>
              <w:jc w:val="left"/>
              <w:rPr>
                <w:sz w:val="18"/>
                <w:szCs w:val="18"/>
              </w:rPr>
            </w:pPr>
            <w:r w:rsidRPr="00407000">
              <w:rPr>
                <w:sz w:val="18"/>
                <w:szCs w:val="18"/>
              </w:rPr>
              <w:t>Počet dokončených etap protipovodňových opatření (počet, kumulovaný)</w:t>
            </w:r>
          </w:p>
        </w:tc>
        <w:tc>
          <w:tcPr>
            <w:tcW w:w="1676" w:type="dxa"/>
            <w:tcBorders>
              <w:bottom w:val="single" w:sz="12" w:space="0" w:color="000000"/>
            </w:tcBorders>
            <w:vAlign w:val="center"/>
          </w:tcPr>
          <w:p w:rsidR="00F84F32" w:rsidRPr="00407000" w:rsidRDefault="00F84F32" w:rsidP="001F7A94">
            <w:pPr>
              <w:widowControl/>
              <w:ind w:firstLine="0"/>
              <w:jc w:val="center"/>
              <w:rPr>
                <w:rFonts w:eastAsia="MS Mincho"/>
                <w:spacing w:val="4"/>
                <w:sz w:val="18"/>
                <w:szCs w:val="18"/>
                <w:lang w:eastAsia="en-US"/>
              </w:rPr>
            </w:pPr>
            <w:r w:rsidRPr="00407000">
              <w:rPr>
                <w:rFonts w:eastAsia="MS Mincho"/>
                <w:spacing w:val="4"/>
                <w:sz w:val="18"/>
                <w:szCs w:val="18"/>
                <w:lang w:eastAsia="en-US"/>
              </w:rPr>
              <w:t>2</w:t>
            </w:r>
          </w:p>
        </w:tc>
        <w:tc>
          <w:tcPr>
            <w:tcW w:w="1134" w:type="dxa"/>
            <w:tcBorders>
              <w:bottom w:val="single" w:sz="12" w:space="0" w:color="000000"/>
            </w:tcBorders>
            <w:vAlign w:val="center"/>
          </w:tcPr>
          <w:p w:rsidR="00F84F32" w:rsidRPr="00407000" w:rsidRDefault="00F84F32" w:rsidP="001F7A94">
            <w:pPr>
              <w:widowControl/>
              <w:ind w:firstLine="0"/>
              <w:jc w:val="center"/>
              <w:rPr>
                <w:rFonts w:eastAsia="MS Mincho"/>
                <w:spacing w:val="4"/>
                <w:sz w:val="18"/>
                <w:szCs w:val="18"/>
                <w:lang w:eastAsia="en-US"/>
              </w:rPr>
            </w:pPr>
            <w:r w:rsidRPr="00407000">
              <w:rPr>
                <w:rFonts w:eastAsia="MS Mincho"/>
                <w:spacing w:val="4"/>
                <w:sz w:val="18"/>
                <w:szCs w:val="18"/>
                <w:lang w:eastAsia="en-US"/>
              </w:rPr>
              <w:t>4</w:t>
            </w:r>
          </w:p>
        </w:tc>
        <w:tc>
          <w:tcPr>
            <w:tcW w:w="1275" w:type="dxa"/>
            <w:tcBorders>
              <w:bottom w:val="single" w:sz="12" w:space="0" w:color="000000"/>
            </w:tcBorders>
            <w:vAlign w:val="center"/>
          </w:tcPr>
          <w:p w:rsidR="00F84F32" w:rsidRPr="00407000" w:rsidRDefault="00F84F32" w:rsidP="001F7A94">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993" w:type="dxa"/>
            <w:tcBorders>
              <w:bottom w:val="single" w:sz="12" w:space="0" w:color="000000"/>
            </w:tcBorders>
            <w:vAlign w:val="center"/>
          </w:tcPr>
          <w:p w:rsidR="00F84F32" w:rsidRPr="00407000" w:rsidRDefault="00F84F32" w:rsidP="001F7A94">
            <w:pPr>
              <w:widowControl/>
              <w:ind w:firstLine="0"/>
              <w:jc w:val="center"/>
              <w:rPr>
                <w:rFonts w:eastAsia="MS Mincho"/>
                <w:spacing w:val="4"/>
                <w:sz w:val="18"/>
                <w:szCs w:val="18"/>
                <w:lang w:eastAsia="en-US"/>
              </w:rPr>
            </w:pPr>
            <w:r w:rsidRPr="00407000">
              <w:rPr>
                <w:rFonts w:eastAsia="MS Mincho"/>
                <w:spacing w:val="4"/>
                <w:sz w:val="18"/>
                <w:szCs w:val="18"/>
                <w:lang w:eastAsia="en-US"/>
              </w:rPr>
              <w:t>2</w:t>
            </w:r>
          </w:p>
        </w:tc>
        <w:tc>
          <w:tcPr>
            <w:tcW w:w="850" w:type="dxa"/>
            <w:tcBorders>
              <w:bottom w:val="single" w:sz="12" w:space="0" w:color="000000"/>
            </w:tcBorders>
            <w:shd w:val="clear" w:color="auto" w:fill="FFC000"/>
            <w:vAlign w:val="center"/>
          </w:tcPr>
          <w:p w:rsidR="00F84F32" w:rsidRPr="00407000" w:rsidRDefault="00F84F32" w:rsidP="001F7A94">
            <w:pPr>
              <w:widowControl/>
              <w:ind w:firstLine="0"/>
              <w:jc w:val="center"/>
              <w:rPr>
                <w:rFonts w:eastAsia="MS Mincho"/>
                <w:spacing w:val="4"/>
                <w:sz w:val="16"/>
                <w:szCs w:val="16"/>
                <w:lang w:eastAsia="en-US"/>
              </w:rPr>
            </w:pPr>
            <w:r w:rsidRPr="00407000">
              <w:rPr>
                <w:sz w:val="32"/>
                <w:szCs w:val="32"/>
              </w:rPr>
              <w:sym w:font="Wingdings" w:char="F04B"/>
            </w:r>
          </w:p>
        </w:tc>
      </w:tr>
    </w:tbl>
    <w:p w:rsidR="00F84F32" w:rsidRPr="00407000" w:rsidRDefault="00F84F32" w:rsidP="00407000"/>
    <w:p w:rsidR="00F84F32" w:rsidRPr="00407000" w:rsidRDefault="00F84F32" w:rsidP="00407000">
      <w:pPr>
        <w:ind w:firstLine="0"/>
        <w:rPr>
          <w:b/>
        </w:rPr>
      </w:pPr>
      <w:r w:rsidRPr="00407000">
        <w:rPr>
          <w:b/>
        </w:rPr>
        <w:t xml:space="preserve">Opatření 3.4.1 Realizace protipovodňových opatření </w:t>
      </w:r>
    </w:p>
    <w:p w:rsidR="00F84F32" w:rsidRPr="00407000" w:rsidRDefault="00F84F32" w:rsidP="00407000">
      <w:pPr>
        <w:ind w:firstLine="0"/>
        <w:rPr>
          <w:u w:val="single"/>
        </w:rPr>
      </w:pPr>
      <w:r w:rsidRPr="00407000">
        <w:rPr>
          <w:u w:val="single"/>
        </w:rPr>
        <w:t>Stav opatření</w:t>
      </w:r>
    </w:p>
    <w:p w:rsidR="00F84F32" w:rsidRPr="002C447E" w:rsidRDefault="00F84F32" w:rsidP="00AD01FB">
      <w:r w:rsidRPr="002C447E">
        <w:t>V roce 2020 pokračovala stavba II.B etapy. Ke zprovozněnému mostu na ul. Komenského byly napojeny ulice Husova, Sokolovská a na Letné. Byla dokončena a</w:t>
      </w:r>
      <w:r>
        <w:t> </w:t>
      </w:r>
      <w:r w:rsidRPr="002C447E">
        <w:t>zkolaudována část stavby od ulice Šmeralova po železniční most. Proběhla demolice poloviny Masarykova mostu a ražba štítem u kanalizačního sběrače D u mostu na</w:t>
      </w:r>
      <w:r>
        <w:t> </w:t>
      </w:r>
      <w:r w:rsidRPr="002C447E">
        <w:t>Masarykově třídě. Byla provedena betonáž spodní konstrukce tohoto mostu a zahájena výroba horní ocelové konstrukce. Dále byla vybudována tramvajová úvrať na straně mostu k Žižkovu náměstí.</w:t>
      </w:r>
    </w:p>
    <w:p w:rsidR="00F84F32" w:rsidRPr="002C447E" w:rsidRDefault="00F84F32" w:rsidP="00AD01FB">
      <w:r w:rsidRPr="002C447E">
        <w:t>V roce 2020 pokračovala příprava IV. etapy PPO. Došlo k rozdělení projektové dokumentace na dvě části: tzv. IV.A etapa a IV.B etapa. U IV.A etapy se pokračovalo v projektové přípravě. Tato etapa zahrnuje pravý bře</w:t>
      </w:r>
      <w:r>
        <w:t>h u čistírny odpadních vod,</w:t>
      </w:r>
      <w:r w:rsidRPr="002C447E">
        <w:t xml:space="preserve"> napojení levobřežního odstaveného ramene a jeho revitalizaci. Dokumentace a žádost o společné povolení byla podána na vodoprávní úřad 21. 10. 2020. </w:t>
      </w:r>
    </w:p>
    <w:p w:rsidR="00F84F32" w:rsidRPr="002C447E" w:rsidRDefault="00F84F32" w:rsidP="00AD01FB">
      <w:r w:rsidRPr="002C447E">
        <w:t>IV.B etapa je umístěna na levém břehu</w:t>
      </w:r>
      <w:r>
        <w:t> a z</w:t>
      </w:r>
      <w:r w:rsidRPr="002C447E">
        <w:t>ahrnuje vybudování zemního valu kolem Nového Světa,</w:t>
      </w:r>
      <w:r>
        <w:t xml:space="preserve"> zbudování obtokového ramene a </w:t>
      </w:r>
      <w:r w:rsidRPr="002C447E">
        <w:t>inundačního mostu pod železnicí a</w:t>
      </w:r>
      <w:r>
        <w:t> </w:t>
      </w:r>
      <w:r w:rsidRPr="002C447E">
        <w:t>revitalizaci údolní nivy. V rámci této části PPO dochází k dotčení mnoha vlastníků pozemků</w:t>
      </w:r>
      <w:r>
        <w:t>,</w:t>
      </w:r>
      <w:r w:rsidRPr="002C447E">
        <w:t xml:space="preserve"> řešení této etapy je tak závislé na vypořádání vlastnických vztahů k pozemkům a na zapracování tohoto záměru do územně plánovací dokumentace. V tomto smyslu ZMO konané dne 16. 11. 2020 schválilo pořízení </w:t>
      </w:r>
      <w:r>
        <w:t>z</w:t>
      </w:r>
      <w:r w:rsidRPr="002C447E">
        <w:t xml:space="preserve">měny </w:t>
      </w:r>
      <w:r>
        <w:t>Ú</w:t>
      </w:r>
      <w:r w:rsidRPr="002C447E">
        <w:t xml:space="preserve">zemního plánu č. XII. </w:t>
      </w:r>
    </w:p>
    <w:p w:rsidR="00F84F32" w:rsidRPr="00407000" w:rsidRDefault="00F84F32" w:rsidP="00407000">
      <w:pPr>
        <w:ind w:firstLine="0"/>
        <w:rPr>
          <w:color w:val="4F6228"/>
        </w:rPr>
      </w:pPr>
    </w:p>
    <w:p w:rsidR="00F84F32" w:rsidRPr="00407000" w:rsidRDefault="00F84F32" w:rsidP="00407000">
      <w:pPr>
        <w:ind w:firstLine="0"/>
        <w:rPr>
          <w:b/>
        </w:rPr>
      </w:pPr>
      <w:r w:rsidRPr="00407000">
        <w:rPr>
          <w:b/>
        </w:rPr>
        <w:t xml:space="preserve">Opatření 3.4.2 Realizace propojení sídelní zeleně a krajiny </w:t>
      </w:r>
    </w:p>
    <w:p w:rsidR="00F84F32" w:rsidRPr="00407000" w:rsidRDefault="00F84F32" w:rsidP="00407000">
      <w:pPr>
        <w:ind w:firstLine="0"/>
        <w:rPr>
          <w:u w:val="single"/>
        </w:rPr>
      </w:pPr>
      <w:r w:rsidRPr="00407000">
        <w:rPr>
          <w:u w:val="single"/>
        </w:rPr>
        <w:t>Stav opatření</w:t>
      </w:r>
    </w:p>
    <w:p w:rsidR="00F84F32" w:rsidRDefault="00F84F32" w:rsidP="00A21A80">
      <w:bookmarkStart w:id="18" w:name="OLE_LINK2"/>
      <w:r w:rsidRPr="00407000">
        <w:t>Opatření nebylo v roce 20</w:t>
      </w:r>
      <w:r>
        <w:t>20</w:t>
      </w:r>
      <w:r w:rsidRPr="00407000">
        <w:t xml:space="preserve"> naplňováno.</w:t>
      </w:r>
      <w:bookmarkEnd w:id="18"/>
    </w:p>
    <w:p w:rsidR="00A70F90" w:rsidRPr="00A21A80" w:rsidRDefault="00A70F90" w:rsidP="00A21A80">
      <w:pPr>
        <w:rPr>
          <w:b/>
        </w:rPr>
      </w:pPr>
    </w:p>
    <w:p w:rsidR="00F84F32" w:rsidRPr="00407000" w:rsidRDefault="00F84F32" w:rsidP="00407000">
      <w:pPr>
        <w:ind w:firstLine="0"/>
        <w:rPr>
          <w:b/>
        </w:rPr>
      </w:pPr>
      <w:r w:rsidRPr="00407000">
        <w:rPr>
          <w:b/>
        </w:rPr>
        <w:t xml:space="preserve">Opatření 3.4.3 Tvorba příměstské krajiny </w:t>
      </w:r>
    </w:p>
    <w:p w:rsidR="00F84F32" w:rsidRPr="00407000" w:rsidRDefault="00F84F32" w:rsidP="00407000">
      <w:pPr>
        <w:ind w:firstLine="0"/>
        <w:rPr>
          <w:u w:val="single"/>
        </w:rPr>
      </w:pPr>
      <w:r w:rsidRPr="00407000">
        <w:rPr>
          <w:u w:val="single"/>
        </w:rPr>
        <w:t>Stav opatření</w:t>
      </w:r>
    </w:p>
    <w:p w:rsidR="00F84F32" w:rsidRDefault="00F84F32" w:rsidP="00BC2C9C">
      <w:r w:rsidRPr="00407000">
        <w:t>Opatření nebylo v roce 20</w:t>
      </w:r>
      <w:r>
        <w:t>20</w:t>
      </w:r>
      <w:r w:rsidRPr="00407000">
        <w:t xml:space="preserve"> naplňováno.</w:t>
      </w:r>
    </w:p>
    <w:p w:rsidR="00F84F32" w:rsidRDefault="00F84F32" w:rsidP="00BC2C9C"/>
    <w:p w:rsidR="00A70F90" w:rsidRDefault="00A70F90" w:rsidP="00BC2C9C"/>
    <w:p w:rsidR="00A70F90" w:rsidRPr="00407000" w:rsidRDefault="00A70F90" w:rsidP="00BC2C9C"/>
    <w:p w:rsidR="00F84F32" w:rsidRPr="00407000" w:rsidRDefault="00F84F32" w:rsidP="00407000">
      <w:pPr>
        <w:ind w:firstLine="0"/>
        <w:rPr>
          <w:b/>
        </w:rPr>
      </w:pPr>
      <w:r w:rsidRPr="00407000">
        <w:rPr>
          <w:b/>
        </w:rPr>
        <w:lastRenderedPageBreak/>
        <w:t xml:space="preserve">Opatření 3.4.4 Realizace protierozních opatření </w:t>
      </w:r>
    </w:p>
    <w:p w:rsidR="00F84F32" w:rsidRPr="00407000" w:rsidRDefault="00F84F32" w:rsidP="00407000">
      <w:pPr>
        <w:ind w:firstLine="0"/>
        <w:rPr>
          <w:u w:val="single"/>
        </w:rPr>
      </w:pPr>
      <w:r w:rsidRPr="00407000">
        <w:rPr>
          <w:u w:val="single"/>
        </w:rPr>
        <w:t>Stav opatření</w:t>
      </w:r>
    </w:p>
    <w:p w:rsidR="00F84F32" w:rsidRPr="006D2218" w:rsidRDefault="00F84F32" w:rsidP="006D2218">
      <w:r w:rsidRPr="00407000">
        <w:t>Opatření nebylo v roce 20</w:t>
      </w:r>
      <w:r>
        <w:t>20</w:t>
      </w:r>
      <w:r w:rsidRPr="00407000">
        <w:t xml:space="preserve"> naplňováno.</w:t>
      </w:r>
    </w:p>
    <w:p w:rsidR="00F84F32" w:rsidRPr="00407000" w:rsidRDefault="00F84F32" w:rsidP="00AD01FB"/>
    <w:p w:rsidR="00F84F32" w:rsidRPr="00407000" w:rsidRDefault="00F84F32" w:rsidP="00407000">
      <w:pPr>
        <w:ind w:firstLine="0"/>
        <w:rPr>
          <w:b/>
        </w:rPr>
      </w:pPr>
      <w:r w:rsidRPr="00407000">
        <w:rPr>
          <w:b/>
        </w:rPr>
        <w:t xml:space="preserve">Opatření 3.4.5 Realizace prvků ÚSES </w:t>
      </w:r>
    </w:p>
    <w:p w:rsidR="00F84F32" w:rsidRPr="006D2218" w:rsidRDefault="00F84F32" w:rsidP="006D2218">
      <w:pPr>
        <w:ind w:firstLine="0"/>
        <w:rPr>
          <w:u w:val="single"/>
        </w:rPr>
      </w:pPr>
      <w:r w:rsidRPr="00407000">
        <w:rPr>
          <w:u w:val="single"/>
        </w:rPr>
        <w:t>Stav opatření</w:t>
      </w:r>
    </w:p>
    <w:p w:rsidR="00F84F32" w:rsidRPr="006D2218" w:rsidRDefault="00F84F32" w:rsidP="00AD01FB">
      <w:r w:rsidRPr="002C447E">
        <w:t xml:space="preserve">V roce 2020 byla odborem životního prostředí zpracována „Projektová dokumentace k žádosti o poskytnutí podpory na </w:t>
      </w:r>
      <w:r w:rsidRPr="006D2218">
        <w:t>zpracování plánu ÚSES</w:t>
      </w:r>
      <w:r w:rsidRPr="002C447E">
        <w:rPr>
          <w:b/>
        </w:rPr>
        <w:t xml:space="preserve"> </w:t>
      </w:r>
      <w:r w:rsidRPr="002C447E">
        <w:t>v rámci Operačního programu</w:t>
      </w:r>
      <w:r>
        <w:t xml:space="preserve"> Životní prostředí 2014</w:t>
      </w:r>
      <w:r w:rsidRPr="00407000">
        <w:rPr>
          <w:snapToGrid w:val="0"/>
          <w:szCs w:val="20"/>
        </w:rPr>
        <w:t>–</w:t>
      </w:r>
      <w:r w:rsidRPr="002C447E">
        <w:t>2020</w:t>
      </w:r>
      <w:r>
        <w:t>“</w:t>
      </w:r>
      <w:r w:rsidRPr="002C447E">
        <w:t>. Na podzim roku 2020 došlo ke  zhoršení epidemiologické situace v ČR, které způsobilo mj. prodlevy ve vyřizování většiny záležitostí veřejné správy. To znamenalo zdržení ve stanovení kvalifikačních předpokladů zhotovitele, tak aby byla na jedné straně zajištěna vysoká kvalita hotového díla a zároveň aby byly pro potenciální uchazeče reálně splnitelné. K tomu proběhla řada konzultací s Ministerstvem životního prostředí, Agenturou ochrany přírody a krajiny ČR, pracoviště Olomouc a s právníky. Dále bylo nutné vyčkat na schválení dotace ze strany poskytovatele. Z těchto důvodů došlo k posunu zahájení veřejné zakázky na 18. 12. 2020.</w:t>
      </w:r>
    </w:p>
    <w:p w:rsidR="00F84F32" w:rsidRPr="00407000" w:rsidRDefault="00F84F32" w:rsidP="00AD01FB"/>
    <w:p w:rsidR="00F84F32" w:rsidRPr="00407000" w:rsidRDefault="00F84F32" w:rsidP="00407000">
      <w:pPr>
        <w:ind w:firstLine="0"/>
        <w:rPr>
          <w:b/>
        </w:rPr>
      </w:pPr>
      <w:r w:rsidRPr="00407000">
        <w:rPr>
          <w:b/>
        </w:rPr>
        <w:t xml:space="preserve">Opatření 3.4.6 Realizace prvků pro retenci srážkových vod </w:t>
      </w:r>
    </w:p>
    <w:p w:rsidR="00F84F32" w:rsidRPr="00407000" w:rsidRDefault="00F84F32" w:rsidP="00407000">
      <w:pPr>
        <w:ind w:firstLine="0"/>
        <w:rPr>
          <w:u w:val="single"/>
        </w:rPr>
      </w:pPr>
      <w:r w:rsidRPr="00407000">
        <w:rPr>
          <w:u w:val="single"/>
        </w:rPr>
        <w:t>Stav opatření:</w:t>
      </w:r>
    </w:p>
    <w:p w:rsidR="00F84F32" w:rsidRPr="00407000" w:rsidRDefault="00F84F32" w:rsidP="00AD01FB">
      <w:r w:rsidRPr="00407000">
        <w:t>V roce 20</w:t>
      </w:r>
      <w:r>
        <w:t>20 probíhaly</w:t>
      </w:r>
      <w:r w:rsidRPr="00407000">
        <w:t xml:space="preserve"> projektové práce na pilotním projektu s využitím principů modrozelené infrastruktury „Šantova – rekonstrukce kanalizace a komunikace“. Dále odbor investic dokonč</w:t>
      </w:r>
      <w:r>
        <w:t>il</w:t>
      </w:r>
      <w:r w:rsidRPr="00407000">
        <w:t xml:space="preserve"> projektovou přípravu na realizaci retenční nádrže s regulovaným odtokem na parkovišti u ZOO a zasakovací průleh u dětského hřiště před vstupem do ZOO. Vedení ZOO také připrav</w:t>
      </w:r>
      <w:r>
        <w:t>ilo</w:t>
      </w:r>
      <w:r w:rsidRPr="00407000">
        <w:t xml:space="preserve"> realizaci hospodaření se srážkovými vodami podle principů MZI v celém areálu ZOO.</w:t>
      </w:r>
    </w:p>
    <w:p w:rsidR="00F84F32" w:rsidRDefault="00F84F32" w:rsidP="00AD01FB"/>
    <w:p w:rsidR="00F84F32" w:rsidRDefault="00F84F32" w:rsidP="00AD01FB"/>
    <w:p w:rsidR="00F84F32" w:rsidRPr="00407000" w:rsidRDefault="00F84F32" w:rsidP="00407000">
      <w:pPr>
        <w:shd w:val="clear" w:color="auto" w:fill="EAF1DD"/>
        <w:ind w:firstLine="0"/>
        <w:rPr>
          <w:b/>
          <w:bCs/>
          <w:kern w:val="24"/>
        </w:rPr>
      </w:pPr>
      <w:r w:rsidRPr="00407000">
        <w:rPr>
          <w:b/>
          <w:bCs/>
          <w:kern w:val="24"/>
        </w:rPr>
        <w:t>Cíl 3.5 Zajistit trvale efektivní odpadové hospodářství</w:t>
      </w:r>
    </w:p>
    <w:p w:rsidR="00F84F32" w:rsidRPr="00407000" w:rsidRDefault="00F84F32" w:rsidP="00407000"/>
    <w:tbl>
      <w:tblPr>
        <w:tblW w:w="979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2"/>
        <w:gridCol w:w="646"/>
        <w:gridCol w:w="2122"/>
        <w:gridCol w:w="1713"/>
        <w:gridCol w:w="1033"/>
        <w:gridCol w:w="1203"/>
        <w:gridCol w:w="1713"/>
        <w:gridCol w:w="821"/>
      </w:tblGrid>
      <w:tr w:rsidR="00F84F32" w:rsidRPr="00407000" w:rsidTr="007F3315">
        <w:trPr>
          <w:tblHeader/>
        </w:trPr>
        <w:tc>
          <w:tcPr>
            <w:tcW w:w="542"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46"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122"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662"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821"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7F3315">
        <w:trPr>
          <w:tblHeader/>
        </w:trPr>
        <w:tc>
          <w:tcPr>
            <w:tcW w:w="542"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46"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122"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71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03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0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71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821"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7F3315">
        <w:tc>
          <w:tcPr>
            <w:tcW w:w="542"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3.5</w:t>
            </w:r>
          </w:p>
        </w:tc>
        <w:tc>
          <w:tcPr>
            <w:tcW w:w="646" w:type="dxa"/>
            <w:vAlign w:val="center"/>
          </w:tcPr>
          <w:p w:rsidR="00F84F32" w:rsidRPr="00407000" w:rsidRDefault="00F84F32" w:rsidP="00407000">
            <w:pPr>
              <w:ind w:firstLine="27"/>
              <w:jc w:val="center"/>
              <w:rPr>
                <w:color w:val="000000"/>
                <w:sz w:val="18"/>
                <w:szCs w:val="18"/>
              </w:rPr>
            </w:pPr>
            <w:r w:rsidRPr="00407000">
              <w:rPr>
                <w:color w:val="000000"/>
                <w:sz w:val="18"/>
                <w:szCs w:val="18"/>
              </w:rPr>
              <w:t>34.</w:t>
            </w:r>
          </w:p>
        </w:tc>
        <w:tc>
          <w:tcPr>
            <w:tcW w:w="2122" w:type="dxa"/>
            <w:vAlign w:val="center"/>
          </w:tcPr>
          <w:p w:rsidR="00F84F32" w:rsidRPr="00407000" w:rsidRDefault="00F84F32" w:rsidP="00407000">
            <w:pPr>
              <w:ind w:firstLine="0"/>
              <w:jc w:val="left"/>
              <w:rPr>
                <w:sz w:val="18"/>
                <w:szCs w:val="18"/>
              </w:rPr>
            </w:pPr>
            <w:r w:rsidRPr="00407000">
              <w:rPr>
                <w:sz w:val="18"/>
                <w:szCs w:val="18"/>
              </w:rPr>
              <w:t>Podíl vytříděného komunálního odpadu (%)</w:t>
            </w:r>
            <w:r>
              <w:rPr>
                <w:rStyle w:val="Znakapoznpodarou"/>
                <w:sz w:val="18"/>
                <w:szCs w:val="18"/>
              </w:rPr>
              <w:footnoteReference w:id="26"/>
            </w:r>
          </w:p>
        </w:tc>
        <w:tc>
          <w:tcPr>
            <w:tcW w:w="171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54,84</w:t>
            </w:r>
          </w:p>
        </w:tc>
        <w:tc>
          <w:tcPr>
            <w:tcW w:w="103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70,00</w:t>
            </w:r>
          </w:p>
        </w:tc>
        <w:tc>
          <w:tcPr>
            <w:tcW w:w="120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71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5</w:t>
            </w:r>
            <w:r>
              <w:rPr>
                <w:rFonts w:eastAsia="MS Mincho"/>
                <w:spacing w:val="4"/>
                <w:sz w:val="18"/>
                <w:szCs w:val="18"/>
                <w:lang w:eastAsia="en-US"/>
              </w:rPr>
              <w:t>1,66</w:t>
            </w:r>
          </w:p>
        </w:tc>
        <w:tc>
          <w:tcPr>
            <w:tcW w:w="821" w:type="dxa"/>
            <w:shd w:val="clear" w:color="auto" w:fill="FF0000"/>
            <w:vAlign w:val="center"/>
          </w:tcPr>
          <w:p w:rsidR="00F84F32" w:rsidRPr="00407000" w:rsidRDefault="00F84F32" w:rsidP="00407000">
            <w:pPr>
              <w:widowControl/>
              <w:ind w:firstLine="0"/>
              <w:jc w:val="center"/>
              <w:rPr>
                <w:rFonts w:eastAsia="MS Mincho"/>
                <w:spacing w:val="4"/>
                <w:sz w:val="16"/>
                <w:szCs w:val="16"/>
                <w:lang w:eastAsia="en-US"/>
              </w:rPr>
            </w:pPr>
            <w:r w:rsidRPr="00407000">
              <w:rPr>
                <w:sz w:val="32"/>
                <w:szCs w:val="32"/>
              </w:rPr>
              <w:sym w:font="Wingdings" w:char="F04C"/>
            </w:r>
          </w:p>
        </w:tc>
      </w:tr>
      <w:tr w:rsidR="00F84F32" w:rsidRPr="00407000" w:rsidTr="007F3315">
        <w:trPr>
          <w:trHeight w:val="416"/>
        </w:trPr>
        <w:tc>
          <w:tcPr>
            <w:tcW w:w="542" w:type="dxa"/>
            <w:vMerge/>
            <w:vAlign w:val="center"/>
          </w:tcPr>
          <w:p w:rsidR="00F84F32" w:rsidRPr="00407000" w:rsidRDefault="00F84F32" w:rsidP="00407000">
            <w:pPr>
              <w:widowControl/>
              <w:ind w:firstLine="0"/>
              <w:jc w:val="left"/>
              <w:rPr>
                <w:color w:val="000000"/>
                <w:sz w:val="18"/>
                <w:szCs w:val="18"/>
              </w:rPr>
            </w:pPr>
          </w:p>
        </w:tc>
        <w:tc>
          <w:tcPr>
            <w:tcW w:w="646" w:type="dxa"/>
            <w:vAlign w:val="center"/>
          </w:tcPr>
          <w:p w:rsidR="00F84F32" w:rsidRPr="00407000" w:rsidRDefault="00F84F32" w:rsidP="00407000">
            <w:pPr>
              <w:ind w:firstLine="27"/>
              <w:jc w:val="center"/>
              <w:rPr>
                <w:color w:val="000000"/>
                <w:sz w:val="18"/>
                <w:szCs w:val="18"/>
              </w:rPr>
            </w:pPr>
            <w:r w:rsidRPr="00407000">
              <w:rPr>
                <w:color w:val="000000"/>
                <w:sz w:val="18"/>
                <w:szCs w:val="18"/>
              </w:rPr>
              <w:t>35.</w:t>
            </w:r>
          </w:p>
        </w:tc>
        <w:tc>
          <w:tcPr>
            <w:tcW w:w="2122" w:type="dxa"/>
            <w:vAlign w:val="center"/>
          </w:tcPr>
          <w:p w:rsidR="00F84F32" w:rsidRPr="00407000" w:rsidRDefault="00F84F32" w:rsidP="00407000">
            <w:pPr>
              <w:ind w:firstLine="0"/>
              <w:jc w:val="left"/>
              <w:rPr>
                <w:sz w:val="18"/>
                <w:szCs w:val="18"/>
              </w:rPr>
            </w:pPr>
            <w:r w:rsidRPr="00407000">
              <w:rPr>
                <w:sz w:val="18"/>
                <w:szCs w:val="18"/>
              </w:rPr>
              <w:t>Míra materiálového využití odpadu (%)</w:t>
            </w:r>
            <w:r>
              <w:rPr>
                <w:rStyle w:val="Znakapoznpodarou"/>
                <w:sz w:val="18"/>
                <w:szCs w:val="18"/>
              </w:rPr>
              <w:footnoteReference w:id="27"/>
            </w:r>
          </w:p>
        </w:tc>
        <w:tc>
          <w:tcPr>
            <w:tcW w:w="171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49,75</w:t>
            </w:r>
          </w:p>
        </w:tc>
        <w:tc>
          <w:tcPr>
            <w:tcW w:w="103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70,00</w:t>
            </w:r>
          </w:p>
        </w:tc>
        <w:tc>
          <w:tcPr>
            <w:tcW w:w="120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71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4</w:t>
            </w:r>
            <w:r>
              <w:rPr>
                <w:rFonts w:eastAsia="MS Mincho"/>
                <w:spacing w:val="4"/>
                <w:sz w:val="18"/>
                <w:szCs w:val="18"/>
                <w:lang w:eastAsia="en-US"/>
              </w:rPr>
              <w:t>6,77</w:t>
            </w:r>
          </w:p>
        </w:tc>
        <w:tc>
          <w:tcPr>
            <w:tcW w:w="821" w:type="dxa"/>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7F3315">
        <w:trPr>
          <w:trHeight w:val="416"/>
        </w:trPr>
        <w:tc>
          <w:tcPr>
            <w:tcW w:w="542" w:type="dxa"/>
            <w:vMerge/>
            <w:tcBorders>
              <w:bottom w:val="single" w:sz="12" w:space="0" w:color="000000"/>
            </w:tcBorders>
            <w:vAlign w:val="center"/>
          </w:tcPr>
          <w:p w:rsidR="00F84F32" w:rsidRPr="00407000" w:rsidRDefault="00F84F32" w:rsidP="00407000">
            <w:pPr>
              <w:widowControl/>
              <w:ind w:firstLine="0"/>
              <w:jc w:val="left"/>
              <w:rPr>
                <w:color w:val="000000"/>
                <w:sz w:val="18"/>
                <w:szCs w:val="18"/>
              </w:rPr>
            </w:pPr>
          </w:p>
        </w:tc>
        <w:tc>
          <w:tcPr>
            <w:tcW w:w="646"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36.</w:t>
            </w:r>
          </w:p>
        </w:tc>
        <w:tc>
          <w:tcPr>
            <w:tcW w:w="2122"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Množství produkovaného směsného komunálního odpadu a množství produkovaného odpadu celkem (tun/rok; kg/obyv.)</w:t>
            </w:r>
            <w:r>
              <w:rPr>
                <w:rStyle w:val="Znakapoznpodarou"/>
                <w:sz w:val="18"/>
                <w:szCs w:val="18"/>
              </w:rPr>
              <w:footnoteReference w:id="28"/>
            </w:r>
          </w:p>
        </w:tc>
        <w:tc>
          <w:tcPr>
            <w:tcW w:w="171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i/>
                <w:spacing w:val="4"/>
                <w:sz w:val="18"/>
                <w:szCs w:val="18"/>
                <w:lang w:eastAsia="en-US"/>
              </w:rPr>
              <w:t xml:space="preserve">Produkovaný směsný komunální odpad </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- 16 507,61 tun/rok, - 164,5 kg/obyv.</w:t>
            </w:r>
          </w:p>
          <w:p w:rsidR="00F84F32" w:rsidRPr="00407000" w:rsidRDefault="00F84F32" w:rsidP="00407000">
            <w:pPr>
              <w:widowControl/>
              <w:ind w:firstLine="0"/>
              <w:jc w:val="center"/>
              <w:rPr>
                <w:rFonts w:eastAsia="MS Mincho"/>
                <w:spacing w:val="4"/>
                <w:sz w:val="18"/>
                <w:szCs w:val="18"/>
                <w:lang w:eastAsia="en-US"/>
              </w:rPr>
            </w:pPr>
          </w:p>
          <w:p w:rsidR="00F84F32" w:rsidRPr="00407000" w:rsidRDefault="00F84F32" w:rsidP="00407000">
            <w:pPr>
              <w:widowControl/>
              <w:ind w:firstLine="0"/>
              <w:jc w:val="center"/>
              <w:rPr>
                <w:rFonts w:eastAsia="MS Mincho"/>
                <w:i/>
                <w:spacing w:val="4"/>
                <w:sz w:val="18"/>
                <w:szCs w:val="18"/>
                <w:lang w:eastAsia="en-US"/>
              </w:rPr>
            </w:pPr>
            <w:r w:rsidRPr="00407000">
              <w:rPr>
                <w:rFonts w:eastAsia="MS Mincho"/>
                <w:i/>
                <w:spacing w:val="4"/>
                <w:sz w:val="18"/>
                <w:szCs w:val="18"/>
                <w:lang w:eastAsia="en-US"/>
              </w:rPr>
              <w:t>Produkovaný odpad celkem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- 36 552,00 </w:t>
            </w:r>
            <w:r w:rsidRPr="00407000">
              <w:rPr>
                <w:rFonts w:eastAsia="MS Mincho"/>
                <w:spacing w:val="4"/>
                <w:sz w:val="18"/>
                <w:szCs w:val="18"/>
                <w:lang w:eastAsia="en-US"/>
              </w:rPr>
              <w:lastRenderedPageBreak/>
              <w:t>tun/rok,</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- 364,1 kg/obyv.</w:t>
            </w:r>
          </w:p>
        </w:tc>
        <w:tc>
          <w:tcPr>
            <w:tcW w:w="103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lastRenderedPageBreak/>
              <w:t>nebyl stanoven</w:t>
            </w:r>
          </w:p>
        </w:tc>
        <w:tc>
          <w:tcPr>
            <w:tcW w:w="120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171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i/>
                <w:spacing w:val="4"/>
                <w:sz w:val="18"/>
                <w:szCs w:val="18"/>
                <w:lang w:eastAsia="en-US"/>
              </w:rPr>
              <w:t xml:space="preserve">Produkovaný směsný komunální odpad </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 </w:t>
            </w:r>
            <w:r>
              <w:rPr>
                <w:rFonts w:eastAsia="MS Mincho"/>
                <w:spacing w:val="4"/>
                <w:sz w:val="18"/>
                <w:szCs w:val="18"/>
                <w:lang w:eastAsia="en-US"/>
              </w:rPr>
              <w:t>17 393,49</w:t>
            </w:r>
            <w:r w:rsidRPr="00407000">
              <w:rPr>
                <w:rFonts w:eastAsia="MS Mincho"/>
                <w:spacing w:val="4"/>
                <w:sz w:val="18"/>
                <w:szCs w:val="18"/>
                <w:lang w:eastAsia="en-US"/>
              </w:rPr>
              <w:t xml:space="preserve"> tun/rok,</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- 1</w:t>
            </w:r>
            <w:r>
              <w:rPr>
                <w:rFonts w:eastAsia="MS Mincho"/>
                <w:spacing w:val="4"/>
                <w:sz w:val="18"/>
                <w:szCs w:val="18"/>
                <w:lang w:eastAsia="en-US"/>
              </w:rPr>
              <w:t>73,05</w:t>
            </w:r>
            <w:r w:rsidRPr="00407000">
              <w:rPr>
                <w:rFonts w:eastAsia="MS Mincho"/>
                <w:spacing w:val="4"/>
                <w:sz w:val="18"/>
                <w:szCs w:val="18"/>
                <w:lang w:eastAsia="en-US"/>
              </w:rPr>
              <w:t xml:space="preserve"> kg/obyv.</w:t>
            </w:r>
          </w:p>
          <w:p w:rsidR="00F84F32" w:rsidRPr="00407000" w:rsidRDefault="00F84F32" w:rsidP="00407000">
            <w:pPr>
              <w:widowControl/>
              <w:ind w:firstLine="0"/>
              <w:jc w:val="center"/>
              <w:rPr>
                <w:rFonts w:eastAsia="MS Mincho"/>
                <w:spacing w:val="4"/>
                <w:sz w:val="18"/>
                <w:szCs w:val="18"/>
                <w:lang w:eastAsia="en-US"/>
              </w:rPr>
            </w:pPr>
          </w:p>
          <w:p w:rsidR="00F84F32" w:rsidRPr="00407000" w:rsidRDefault="00F84F32" w:rsidP="00407000">
            <w:pPr>
              <w:widowControl/>
              <w:ind w:firstLine="0"/>
              <w:jc w:val="center"/>
              <w:rPr>
                <w:rFonts w:eastAsia="MS Mincho"/>
                <w:i/>
                <w:spacing w:val="4"/>
                <w:sz w:val="18"/>
                <w:szCs w:val="18"/>
                <w:lang w:eastAsia="en-US"/>
              </w:rPr>
            </w:pPr>
            <w:r w:rsidRPr="00407000">
              <w:rPr>
                <w:rFonts w:eastAsia="MS Mincho"/>
                <w:i/>
                <w:spacing w:val="4"/>
                <w:sz w:val="18"/>
                <w:szCs w:val="18"/>
                <w:lang w:eastAsia="en-US"/>
              </w:rPr>
              <w:t xml:space="preserve">Produkovaný odpad celkem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- 37</w:t>
            </w:r>
            <w:r>
              <w:rPr>
                <w:rFonts w:eastAsia="MS Mincho"/>
                <w:spacing w:val="4"/>
                <w:sz w:val="18"/>
                <w:szCs w:val="18"/>
                <w:lang w:eastAsia="en-US"/>
              </w:rPr>
              <w:t> 994,08</w:t>
            </w:r>
            <w:r w:rsidRPr="00407000">
              <w:rPr>
                <w:rFonts w:eastAsia="MS Mincho"/>
                <w:spacing w:val="4"/>
                <w:sz w:val="18"/>
                <w:szCs w:val="18"/>
                <w:lang w:eastAsia="en-US"/>
              </w:rPr>
              <w:t xml:space="preserve"> </w:t>
            </w:r>
            <w:r w:rsidRPr="00407000">
              <w:rPr>
                <w:rFonts w:eastAsia="MS Mincho"/>
                <w:spacing w:val="4"/>
                <w:sz w:val="18"/>
                <w:szCs w:val="18"/>
                <w:lang w:eastAsia="en-US"/>
              </w:rPr>
              <w:lastRenderedPageBreak/>
              <w:t>tun/rok,</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- 37</w:t>
            </w:r>
            <w:r>
              <w:rPr>
                <w:rFonts w:eastAsia="MS Mincho"/>
                <w:spacing w:val="4"/>
                <w:sz w:val="18"/>
                <w:szCs w:val="18"/>
                <w:lang w:eastAsia="en-US"/>
              </w:rPr>
              <w:t>7,99</w:t>
            </w:r>
            <w:r w:rsidRPr="00407000">
              <w:rPr>
                <w:rFonts w:eastAsia="MS Mincho"/>
                <w:spacing w:val="4"/>
                <w:sz w:val="18"/>
                <w:szCs w:val="18"/>
                <w:lang w:eastAsia="en-US"/>
              </w:rPr>
              <w:t xml:space="preserve"> kg/obyv.</w:t>
            </w:r>
          </w:p>
        </w:tc>
        <w:tc>
          <w:tcPr>
            <w:tcW w:w="821" w:type="dxa"/>
            <w:tcBorders>
              <w:bottom w:val="single" w:sz="12" w:space="0" w:color="000000"/>
            </w:tcBorders>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bl>
    <w:p w:rsidR="00F84F32" w:rsidRPr="00407000" w:rsidRDefault="00F84F32" w:rsidP="00AD01FB"/>
    <w:p w:rsidR="00F84F32" w:rsidRPr="00407000" w:rsidRDefault="00F84F32" w:rsidP="00407000">
      <w:pPr>
        <w:tabs>
          <w:tab w:val="left" w:pos="602"/>
        </w:tabs>
        <w:ind w:firstLine="0"/>
        <w:textAlignment w:val="baseline"/>
        <w:rPr>
          <w:b/>
          <w:kern w:val="24"/>
        </w:rPr>
      </w:pPr>
      <w:r w:rsidRPr="00407000">
        <w:rPr>
          <w:b/>
        </w:rPr>
        <w:t xml:space="preserve">Opatření </w:t>
      </w:r>
      <w:r w:rsidRPr="00407000">
        <w:rPr>
          <w:b/>
          <w:kern w:val="24"/>
        </w:rPr>
        <w:t>3.5.1 Realizace opatření na podporu předcházení odpadu</w:t>
      </w:r>
    </w:p>
    <w:p w:rsidR="00F84F32" w:rsidRPr="00407000" w:rsidRDefault="00F84F32" w:rsidP="00407000">
      <w:pPr>
        <w:ind w:firstLine="0"/>
        <w:rPr>
          <w:u w:val="single"/>
        </w:rPr>
      </w:pPr>
      <w:r w:rsidRPr="00407000">
        <w:rPr>
          <w:u w:val="single"/>
        </w:rPr>
        <w:t>Stav opatření:</w:t>
      </w:r>
    </w:p>
    <w:p w:rsidR="00F84F32" w:rsidRDefault="00F84F32" w:rsidP="00AD01FB">
      <w:pPr>
        <w:rPr>
          <w:kern w:val="24"/>
        </w:rPr>
      </w:pPr>
      <w:r w:rsidRPr="00407000">
        <w:rPr>
          <w:kern w:val="24"/>
        </w:rPr>
        <w:t>V roce 20</w:t>
      </w:r>
      <w:r>
        <w:rPr>
          <w:kern w:val="24"/>
        </w:rPr>
        <w:t>20</w:t>
      </w:r>
      <w:r w:rsidRPr="00407000">
        <w:rPr>
          <w:kern w:val="24"/>
        </w:rPr>
        <w:t xml:space="preserve"> bylo podpořeno domácí kompostování, konkrétně se jednalo o bezplatné předání 1</w:t>
      </w:r>
      <w:r>
        <w:rPr>
          <w:kern w:val="24"/>
        </w:rPr>
        <w:t>2</w:t>
      </w:r>
      <w:r w:rsidRPr="00407000">
        <w:rPr>
          <w:kern w:val="24"/>
        </w:rPr>
        <w:t xml:space="preserve">0 kusů kompostéru domácnostem. Dále byla dokončena </w:t>
      </w:r>
      <w:r>
        <w:rPr>
          <w:kern w:val="24"/>
        </w:rPr>
        <w:t>projektová dokumentace a zadávací podmínky</w:t>
      </w:r>
      <w:r w:rsidRPr="00407000">
        <w:rPr>
          <w:kern w:val="24"/>
        </w:rPr>
        <w:t xml:space="preserve"> projektu RE-USE centra v rámci Odpadového centra Olomouc-Chválkovice.</w:t>
      </w:r>
    </w:p>
    <w:p w:rsidR="00F84F32" w:rsidRPr="00407000" w:rsidRDefault="00F84F32" w:rsidP="00407000">
      <w:pPr>
        <w:rPr>
          <w:kern w:val="24"/>
        </w:rPr>
      </w:pPr>
    </w:p>
    <w:p w:rsidR="00F84F32" w:rsidRPr="00407000" w:rsidRDefault="00F84F32" w:rsidP="00407000">
      <w:pPr>
        <w:ind w:firstLine="0"/>
        <w:textAlignment w:val="baseline"/>
        <w:rPr>
          <w:b/>
          <w:kern w:val="24"/>
        </w:rPr>
      </w:pPr>
      <w:r w:rsidRPr="00407000">
        <w:rPr>
          <w:b/>
        </w:rPr>
        <w:t xml:space="preserve">Opatření </w:t>
      </w:r>
      <w:r w:rsidRPr="00407000">
        <w:rPr>
          <w:b/>
          <w:kern w:val="24"/>
        </w:rPr>
        <w:t>3.5.2 Rozšiřování a zkvalitňování stanovišť tříděného odpadu a sběrových dvorů</w:t>
      </w:r>
    </w:p>
    <w:p w:rsidR="00F84F32" w:rsidRPr="00407000" w:rsidRDefault="00F84F32" w:rsidP="00407000">
      <w:pPr>
        <w:ind w:firstLine="0"/>
        <w:rPr>
          <w:u w:val="single"/>
        </w:rPr>
      </w:pPr>
      <w:r w:rsidRPr="00407000">
        <w:rPr>
          <w:u w:val="single"/>
        </w:rPr>
        <w:t>Stav opatření:</w:t>
      </w:r>
    </w:p>
    <w:p w:rsidR="00F84F32" w:rsidRDefault="00F84F32" w:rsidP="00AD01FB">
      <w:pPr>
        <w:rPr>
          <w:kern w:val="24"/>
        </w:rPr>
      </w:pPr>
      <w:r w:rsidRPr="00F3228F">
        <w:rPr>
          <w:kern w:val="24"/>
        </w:rPr>
        <w:t>V průběhu roku 20</w:t>
      </w:r>
      <w:r>
        <w:rPr>
          <w:kern w:val="24"/>
        </w:rPr>
        <w:t>20</w:t>
      </w:r>
      <w:r w:rsidRPr="00F3228F">
        <w:rPr>
          <w:kern w:val="24"/>
        </w:rPr>
        <w:t xml:space="preserve"> došlo k navýšení počtu sběrných nádob na tříděné odpady včetně rozšíření pilotních projektů sběru bioodpadu v sídlištní zástavbě a sběru </w:t>
      </w:r>
      <w:r>
        <w:rPr>
          <w:kern w:val="24"/>
        </w:rPr>
        <w:t xml:space="preserve">kovů </w:t>
      </w:r>
      <w:r w:rsidRPr="00F3228F">
        <w:rPr>
          <w:kern w:val="24"/>
        </w:rPr>
        <w:t xml:space="preserve">na jednotlivých stanovištích. </w:t>
      </w:r>
      <w:r>
        <w:rPr>
          <w:kern w:val="24"/>
        </w:rPr>
        <w:t xml:space="preserve">Počet kontejnerů na kovy byl téměř zdvojnásoben (ze 45 ks na 85 ks). </w:t>
      </w:r>
      <w:r w:rsidRPr="00F3228F">
        <w:rPr>
          <w:kern w:val="24"/>
        </w:rPr>
        <w:t xml:space="preserve">Dále byl </w:t>
      </w:r>
      <w:r>
        <w:rPr>
          <w:kern w:val="24"/>
        </w:rPr>
        <w:t xml:space="preserve">realizován </w:t>
      </w:r>
      <w:r w:rsidRPr="00F3228F">
        <w:rPr>
          <w:kern w:val="24"/>
        </w:rPr>
        <w:t>projekt polopodzemních kontejnerů na</w:t>
      </w:r>
      <w:r>
        <w:rPr>
          <w:kern w:val="24"/>
        </w:rPr>
        <w:t> </w:t>
      </w:r>
      <w:r w:rsidRPr="00F3228F">
        <w:rPr>
          <w:kern w:val="24"/>
        </w:rPr>
        <w:t>Nových Sadech</w:t>
      </w:r>
      <w:r>
        <w:rPr>
          <w:kern w:val="24"/>
        </w:rPr>
        <w:t>. Bylo instalováno 59 kontejnerů, díky kterým došlo k navýšení objemové kapacity shromažďovacích nádob v této lokalitě o 97 m</w:t>
      </w:r>
      <w:r>
        <w:rPr>
          <w:kern w:val="24"/>
          <w:vertAlign w:val="superscript"/>
        </w:rPr>
        <w:t>3</w:t>
      </w:r>
      <w:r>
        <w:rPr>
          <w:kern w:val="24"/>
        </w:rPr>
        <w:t>.</w:t>
      </w:r>
    </w:p>
    <w:p w:rsidR="00F84F32" w:rsidRPr="00F3228F" w:rsidRDefault="00F84F32" w:rsidP="00AD01FB">
      <w:pPr>
        <w:rPr>
          <w:kern w:val="24"/>
        </w:rPr>
      </w:pPr>
    </w:p>
    <w:p w:rsidR="00F84F32" w:rsidRPr="00407000" w:rsidRDefault="00F84F32" w:rsidP="00407000">
      <w:pPr>
        <w:ind w:firstLine="0"/>
        <w:textAlignment w:val="baseline"/>
        <w:rPr>
          <w:b/>
          <w:kern w:val="24"/>
        </w:rPr>
      </w:pPr>
      <w:r w:rsidRPr="00407000">
        <w:rPr>
          <w:b/>
          <w:kern w:val="24"/>
        </w:rPr>
        <w:t>Opatření 3.5.3 Odstranění nepovolených skládek</w:t>
      </w:r>
    </w:p>
    <w:p w:rsidR="00F84F32" w:rsidRPr="00407000" w:rsidRDefault="00F84F32" w:rsidP="00407000">
      <w:pPr>
        <w:ind w:firstLine="0"/>
        <w:rPr>
          <w:u w:val="single"/>
        </w:rPr>
      </w:pPr>
      <w:r w:rsidRPr="00407000">
        <w:rPr>
          <w:u w:val="single"/>
        </w:rPr>
        <w:t>Stav opatření:</w:t>
      </w:r>
    </w:p>
    <w:p w:rsidR="00F84F32" w:rsidRDefault="00F84F32" w:rsidP="00AD01FB">
      <w:pPr>
        <w:rPr>
          <w:kern w:val="24"/>
        </w:rPr>
      </w:pPr>
      <w:r w:rsidRPr="00407000">
        <w:rPr>
          <w:kern w:val="24"/>
        </w:rPr>
        <w:t>V roce 20</w:t>
      </w:r>
      <w:r>
        <w:rPr>
          <w:kern w:val="24"/>
        </w:rPr>
        <w:t>20</w:t>
      </w:r>
      <w:r w:rsidRPr="00407000">
        <w:rPr>
          <w:kern w:val="24"/>
        </w:rPr>
        <w:t xml:space="preserve"> bylo odstraněno </w:t>
      </w:r>
      <w:r>
        <w:rPr>
          <w:kern w:val="24"/>
        </w:rPr>
        <w:t>78</w:t>
      </w:r>
      <w:r w:rsidRPr="00407000">
        <w:rPr>
          <w:kern w:val="24"/>
        </w:rPr>
        <w:t xml:space="preserve"> </w:t>
      </w:r>
      <w:r>
        <w:rPr>
          <w:kern w:val="24"/>
        </w:rPr>
        <w:t xml:space="preserve">nepovolených skládek odpadu </w:t>
      </w:r>
      <w:r w:rsidRPr="00407000">
        <w:rPr>
          <w:kern w:val="24"/>
        </w:rPr>
        <w:t xml:space="preserve">z pozemků ve vlastnictví SMOl v celkovém nákladu </w:t>
      </w:r>
      <w:r>
        <w:rPr>
          <w:kern w:val="24"/>
        </w:rPr>
        <w:t>734,5</w:t>
      </w:r>
      <w:r w:rsidRPr="00407000">
        <w:rPr>
          <w:kern w:val="24"/>
        </w:rPr>
        <w:t xml:space="preserve"> tis. Kč (vč. DPH)</w:t>
      </w:r>
      <w:r>
        <w:rPr>
          <w:kern w:val="24"/>
        </w:rPr>
        <w:t>, ve dvou lokalitách se jednalo o objemově i finančně náročnější úklid rozsáhlejšího dlouhodobého znečištění</w:t>
      </w:r>
      <w:r w:rsidRPr="00407000">
        <w:rPr>
          <w:kern w:val="24"/>
        </w:rPr>
        <w:t>. Zároveň bylo rozesláno 2</w:t>
      </w:r>
      <w:r>
        <w:rPr>
          <w:kern w:val="24"/>
        </w:rPr>
        <w:t>6</w:t>
      </w:r>
      <w:r w:rsidRPr="00407000">
        <w:rPr>
          <w:kern w:val="24"/>
        </w:rPr>
        <w:t xml:space="preserve"> výzev k odstranění </w:t>
      </w:r>
      <w:r>
        <w:rPr>
          <w:kern w:val="24"/>
        </w:rPr>
        <w:t>nepovolených</w:t>
      </w:r>
      <w:r w:rsidRPr="00407000">
        <w:rPr>
          <w:kern w:val="24"/>
        </w:rPr>
        <w:t xml:space="preserve"> skládek </w:t>
      </w:r>
      <w:r>
        <w:rPr>
          <w:kern w:val="24"/>
        </w:rPr>
        <w:t xml:space="preserve">odpadu </w:t>
      </w:r>
      <w:r w:rsidRPr="00407000">
        <w:rPr>
          <w:kern w:val="24"/>
        </w:rPr>
        <w:t>z pozemků soukromých vlastníků nebo jiných subjektů (Českých drah, S</w:t>
      </w:r>
      <w:r>
        <w:rPr>
          <w:kern w:val="24"/>
        </w:rPr>
        <w:t>právy železnic</w:t>
      </w:r>
      <w:r w:rsidRPr="00407000">
        <w:rPr>
          <w:kern w:val="24"/>
        </w:rPr>
        <w:t>, Povodí Moravy atd.).</w:t>
      </w:r>
    </w:p>
    <w:p w:rsidR="00F84F32" w:rsidRPr="00407000" w:rsidRDefault="00F84F32" w:rsidP="0011657D">
      <w:pPr>
        <w:ind w:firstLine="0"/>
        <w:rPr>
          <w:kern w:val="24"/>
        </w:rPr>
      </w:pPr>
    </w:p>
    <w:p w:rsidR="00F84F32" w:rsidRPr="00407000" w:rsidRDefault="00F84F32" w:rsidP="00407000">
      <w:pPr>
        <w:pStyle w:val="Odstavecseseznamem"/>
        <w:tabs>
          <w:tab w:val="left" w:pos="602"/>
        </w:tabs>
        <w:ind w:left="602" w:hanging="612"/>
        <w:textAlignment w:val="baseline"/>
        <w:rPr>
          <w:rFonts w:ascii="Times New Roman" w:hAnsi="Times New Roman"/>
          <w:b/>
          <w:kern w:val="24"/>
        </w:rPr>
      </w:pPr>
      <w:r w:rsidRPr="00407000">
        <w:rPr>
          <w:rFonts w:ascii="Times New Roman" w:hAnsi="Times New Roman"/>
          <w:b/>
          <w:kern w:val="24"/>
        </w:rPr>
        <w:t>Opatření 3.5.4 Dobudování Odpadového centra Olomouc-Chválkovice</w:t>
      </w:r>
    </w:p>
    <w:p w:rsidR="00F84F32" w:rsidRPr="00407000" w:rsidRDefault="00F84F32" w:rsidP="00407000">
      <w:pPr>
        <w:ind w:firstLine="0"/>
        <w:rPr>
          <w:u w:val="single"/>
        </w:rPr>
      </w:pPr>
      <w:r w:rsidRPr="00407000">
        <w:rPr>
          <w:u w:val="single"/>
        </w:rPr>
        <w:t>Stav opatření:</w:t>
      </w:r>
    </w:p>
    <w:p w:rsidR="00F84F32" w:rsidRDefault="00F84F32" w:rsidP="00F3228F">
      <w:r w:rsidRPr="00407000">
        <w:t>V roce 20</w:t>
      </w:r>
      <w:r>
        <w:t>20</w:t>
      </w:r>
      <w:r w:rsidRPr="00407000">
        <w:t xml:space="preserve"> </w:t>
      </w:r>
      <w:r>
        <w:t xml:space="preserve">byly zpracovány zadávací podmínky pro zpracování DPS a vlastní realizaci stavby </w:t>
      </w:r>
      <w:r w:rsidRPr="00407000">
        <w:t>Odpadového centra Olomouc</w:t>
      </w:r>
      <w:r>
        <w:t>.</w:t>
      </w:r>
      <w:r w:rsidRPr="00407000">
        <w:t xml:space="preserve"> </w:t>
      </w:r>
    </w:p>
    <w:p w:rsidR="00F84F32" w:rsidRDefault="00F84F32" w:rsidP="00407000">
      <w:pPr>
        <w:ind w:firstLine="602"/>
        <w:rPr>
          <w:u w:val="single"/>
        </w:rPr>
      </w:pPr>
    </w:p>
    <w:p w:rsidR="00F84F32" w:rsidRPr="00407000" w:rsidRDefault="00F84F32" w:rsidP="00407000">
      <w:pPr>
        <w:pStyle w:val="Odstavecseseznamem"/>
        <w:tabs>
          <w:tab w:val="left" w:pos="602"/>
        </w:tabs>
        <w:ind w:left="602" w:hanging="612"/>
        <w:textAlignment w:val="baseline"/>
        <w:rPr>
          <w:rFonts w:ascii="Times New Roman" w:hAnsi="Times New Roman"/>
          <w:b/>
          <w:kern w:val="24"/>
        </w:rPr>
      </w:pPr>
      <w:r w:rsidRPr="00407000">
        <w:rPr>
          <w:rFonts w:ascii="Times New Roman" w:hAnsi="Times New Roman"/>
          <w:b/>
          <w:kern w:val="24"/>
        </w:rPr>
        <w:t>Opatření 3.5.5 Vyřešení koncového nakládání s odpady</w:t>
      </w:r>
    </w:p>
    <w:p w:rsidR="00F84F32" w:rsidRPr="00407000" w:rsidRDefault="00F84F32" w:rsidP="00407000">
      <w:pPr>
        <w:ind w:firstLine="0"/>
        <w:rPr>
          <w:u w:val="single"/>
        </w:rPr>
      </w:pPr>
      <w:r w:rsidRPr="00407000">
        <w:rPr>
          <w:u w:val="single"/>
        </w:rPr>
        <w:t>Stav opatření:</w:t>
      </w:r>
    </w:p>
    <w:p w:rsidR="00F84F32" w:rsidRPr="00407000" w:rsidRDefault="00F84F32" w:rsidP="00AD01FB">
      <w:pPr>
        <w:rPr>
          <w:u w:val="single"/>
        </w:rPr>
      </w:pPr>
      <w:r w:rsidRPr="00407000">
        <w:rPr>
          <w:kern w:val="24"/>
        </w:rPr>
        <w:t>Plnění tohoto opatření je závislé na další připravované změně legislativy, která počítá s posunem zákazu skládkování až na rok 2030</w:t>
      </w:r>
      <w:r>
        <w:rPr>
          <w:kern w:val="24"/>
        </w:rPr>
        <w:t xml:space="preserve"> (</w:t>
      </w:r>
      <w:r w:rsidRPr="00822B67">
        <w:rPr>
          <w:kern w:val="24"/>
        </w:rPr>
        <w:t>nová legislativa vstoupí v platnost od 1. 1. 2021).</w:t>
      </w:r>
      <w:r w:rsidRPr="00407000">
        <w:rPr>
          <w:kern w:val="24"/>
        </w:rPr>
        <w:t xml:space="preserve"> Statutární město Olomouc pokračuje ve spolupráci s Olomouckým krajem při řešení koncepce nakládání s </w:t>
      </w:r>
      <w:r>
        <w:rPr>
          <w:kern w:val="24"/>
        </w:rPr>
        <w:t>odpady v rámci založené akciové společnosti</w:t>
      </w:r>
      <w:r w:rsidRPr="00407000">
        <w:rPr>
          <w:kern w:val="24"/>
        </w:rPr>
        <w:t>. Další postup je rovněž závislý na realizaci Odpadového centra Olomouc-Chválkovice.</w:t>
      </w:r>
    </w:p>
    <w:p w:rsidR="00F84F32" w:rsidRDefault="00F84F32" w:rsidP="00226B58">
      <w:pPr>
        <w:ind w:firstLine="0"/>
        <w:rPr>
          <w:kern w:val="24"/>
        </w:rPr>
      </w:pPr>
    </w:p>
    <w:p w:rsidR="00F84F32" w:rsidRPr="00407000" w:rsidRDefault="00F84F32" w:rsidP="00407000">
      <w:pPr>
        <w:ind w:firstLine="0"/>
        <w:textAlignment w:val="baseline"/>
        <w:rPr>
          <w:b/>
          <w:kern w:val="24"/>
        </w:rPr>
      </w:pPr>
      <w:r w:rsidRPr="00407000">
        <w:rPr>
          <w:b/>
          <w:kern w:val="24"/>
        </w:rPr>
        <w:t>Opatření 3.5.6 Ekologická výchova, vzdělání a osvěta, zejména u dospělé populace</w:t>
      </w:r>
    </w:p>
    <w:p w:rsidR="00F84F32" w:rsidRPr="00407000" w:rsidRDefault="00F84F32" w:rsidP="00407000">
      <w:pPr>
        <w:ind w:firstLine="0"/>
        <w:rPr>
          <w:u w:val="single"/>
        </w:rPr>
      </w:pPr>
      <w:r w:rsidRPr="00407000">
        <w:rPr>
          <w:u w:val="single"/>
        </w:rPr>
        <w:t>Stav opatření:</w:t>
      </w:r>
    </w:p>
    <w:p w:rsidR="00F84F32" w:rsidRPr="00103883" w:rsidRDefault="00F84F32" w:rsidP="00AD01FB">
      <w:r>
        <w:tab/>
      </w:r>
      <w:r w:rsidRPr="00441347">
        <w:t xml:space="preserve">Možnosti konání vzdělávacích a osvětových akcí v oblasti ekologické výchovy byly </w:t>
      </w:r>
      <w:r w:rsidRPr="00441347">
        <w:lastRenderedPageBreak/>
        <w:t>v roce 2020 značně ovlivněny a omezeny pandemií Covid-19 a s tím souvisejícími opatřeními (nemožnost pořádání hromadných akcí, distanční výuka ve školách</w:t>
      </w:r>
      <w:r>
        <w:t>,</w:t>
      </w:r>
      <w:r w:rsidRPr="00441347">
        <w:t xml:space="preserve"> apod.).</w:t>
      </w:r>
    </w:p>
    <w:p w:rsidR="00F84F32" w:rsidRDefault="00F84F32" w:rsidP="00AD01FB"/>
    <w:p w:rsidR="00F84F32" w:rsidRPr="00407000" w:rsidRDefault="00F84F32" w:rsidP="00AD01FB"/>
    <w:p w:rsidR="00F84F32" w:rsidRPr="00407000" w:rsidRDefault="00F84F32" w:rsidP="00407000">
      <w:pPr>
        <w:shd w:val="clear" w:color="auto" w:fill="EAF1DD"/>
        <w:ind w:firstLine="0"/>
        <w:rPr>
          <w:b/>
          <w:sz w:val="22"/>
          <w:szCs w:val="22"/>
          <w:lang w:eastAsia="en-US"/>
        </w:rPr>
      </w:pPr>
      <w:r w:rsidRPr="00407000">
        <w:rPr>
          <w:b/>
        </w:rPr>
        <w:t>Cíl 3.6 Zlepšit kvalitu ovzduší</w:t>
      </w:r>
    </w:p>
    <w:p w:rsidR="00F84F32" w:rsidRPr="00407000" w:rsidRDefault="00F84F32" w:rsidP="00407000"/>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413"/>
        <w:gridCol w:w="1620"/>
        <w:gridCol w:w="1080"/>
        <w:gridCol w:w="1080"/>
        <w:gridCol w:w="1080"/>
        <w:gridCol w:w="900"/>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41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4860"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0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2413"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c>
          <w:tcPr>
            <w:tcW w:w="162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00" w:type="dxa"/>
            <w:vMerge/>
            <w:tcBorders>
              <w:top w:val="single" w:sz="12" w:space="0" w:color="000000"/>
            </w:tcBorders>
            <w:vAlign w:val="center"/>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B96A10">
        <w:trPr>
          <w:trHeight w:val="416"/>
        </w:trPr>
        <w:tc>
          <w:tcPr>
            <w:tcW w:w="560" w:type="dxa"/>
            <w:tcBorders>
              <w:bottom w:val="single" w:sz="12" w:space="0" w:color="000000"/>
            </w:tcBorders>
            <w:vAlign w:val="center"/>
          </w:tcPr>
          <w:p w:rsidR="00F84F32" w:rsidRPr="00407000" w:rsidRDefault="00F84F32" w:rsidP="00407000">
            <w:pPr>
              <w:ind w:firstLine="0"/>
              <w:jc w:val="center"/>
              <w:rPr>
                <w:color w:val="000000"/>
                <w:sz w:val="18"/>
                <w:szCs w:val="18"/>
              </w:rPr>
            </w:pPr>
            <w:r w:rsidRPr="00407000">
              <w:rPr>
                <w:color w:val="000000"/>
                <w:sz w:val="18"/>
                <w:szCs w:val="18"/>
              </w:rPr>
              <w:t>3.6</w:t>
            </w: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37.</w:t>
            </w:r>
          </w:p>
        </w:tc>
        <w:tc>
          <w:tcPr>
            <w:tcW w:w="2413"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Počet překročení denního imisního limitu pro polétavý prach frakce PM</w:t>
            </w:r>
            <w:r w:rsidRPr="00407000">
              <w:rPr>
                <w:sz w:val="18"/>
                <w:szCs w:val="18"/>
                <w:vertAlign w:val="subscript"/>
              </w:rPr>
              <w:t>10</w:t>
            </w:r>
            <w:r w:rsidRPr="00407000">
              <w:rPr>
                <w:sz w:val="18"/>
                <w:szCs w:val="18"/>
              </w:rPr>
              <w:t xml:space="preserve"> (počet)</w:t>
            </w:r>
            <w:r w:rsidRPr="00407000">
              <w:rPr>
                <w:rStyle w:val="Znakapoznpodarou"/>
                <w:sz w:val="18"/>
                <w:szCs w:val="18"/>
              </w:rPr>
              <w:footnoteReference w:id="29"/>
            </w:r>
          </w:p>
        </w:tc>
        <w:tc>
          <w:tcPr>
            <w:tcW w:w="162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51/ -</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17/2</w:t>
            </w:r>
          </w:p>
        </w:tc>
        <w:tc>
          <w:tcPr>
            <w:tcW w:w="900" w:type="dxa"/>
            <w:tcBorders>
              <w:bottom w:val="single" w:sz="12" w:space="0" w:color="000000"/>
            </w:tcBorders>
            <w:shd w:val="clear" w:color="auto" w:fill="99CC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A"/>
            </w:r>
          </w:p>
        </w:tc>
      </w:tr>
    </w:tbl>
    <w:p w:rsidR="00F84F32" w:rsidRPr="00407000" w:rsidRDefault="00F84F32" w:rsidP="00407000"/>
    <w:p w:rsidR="00F84F32" w:rsidRPr="00407000" w:rsidRDefault="00F84F32" w:rsidP="00407000">
      <w:pPr>
        <w:ind w:firstLine="0"/>
        <w:jc w:val="left"/>
        <w:rPr>
          <w:b/>
        </w:rPr>
      </w:pPr>
      <w:r w:rsidRPr="00407000">
        <w:rPr>
          <w:b/>
        </w:rPr>
        <w:t>Opatření 3.6.1 Monitoring kvality ovzduší</w:t>
      </w:r>
      <w:r w:rsidRPr="00407000">
        <w:rPr>
          <w:b/>
        </w:rPr>
        <w:tab/>
      </w:r>
    </w:p>
    <w:p w:rsidR="00F84F32" w:rsidRPr="00407000" w:rsidRDefault="00F84F32" w:rsidP="00407000">
      <w:pPr>
        <w:ind w:firstLine="0"/>
        <w:rPr>
          <w:u w:val="single"/>
        </w:rPr>
      </w:pPr>
      <w:r w:rsidRPr="00407000">
        <w:rPr>
          <w:u w:val="single"/>
        </w:rPr>
        <w:t>Stav opatření:</w:t>
      </w:r>
    </w:p>
    <w:p w:rsidR="00F84F32" w:rsidRDefault="00F84F32" w:rsidP="004D0D43">
      <w:r>
        <w:t>V roce 2020 byla provozována stanice automatického imisního monitoringu Olomouc – Velkomoravská (svým charakterem stanice dopravní), která doplňuje státní síť imisního monitoringu provozovanou Českým hydrometeorologickým ústavem. Monitoring a následné vyhodnocení úrovně znečištění v dané lokalitě proběhlo na základě smluvního vztahu, který byl financován z rozpočtu města. On-line naměřená data byla prezentována na webu města. Graficky i tabelárně zpracovaná roční data včetně vyhodnocení kvality ovzduší budou v následujícím období poskytnuta veřejnosti prostřednictvím Systému řízení kvality ovzduší – Interaktivní mapy.</w:t>
      </w:r>
    </w:p>
    <w:p w:rsidR="00F84F32" w:rsidRPr="00407000" w:rsidRDefault="00F84F32" w:rsidP="00407000"/>
    <w:p w:rsidR="00F84F32" w:rsidRPr="00407000" w:rsidRDefault="00F84F32" w:rsidP="00407000">
      <w:pPr>
        <w:widowControl/>
        <w:ind w:firstLine="0"/>
        <w:rPr>
          <w:b/>
        </w:rPr>
      </w:pPr>
      <w:r w:rsidRPr="00407000">
        <w:rPr>
          <w:b/>
        </w:rPr>
        <w:t>Opatření 3.6.2 Informační a osvětové kampaně</w:t>
      </w:r>
    </w:p>
    <w:p w:rsidR="00F84F32" w:rsidRPr="00407000" w:rsidRDefault="00F84F32" w:rsidP="00407000">
      <w:pPr>
        <w:ind w:firstLine="0"/>
        <w:rPr>
          <w:u w:val="single"/>
        </w:rPr>
      </w:pPr>
      <w:r w:rsidRPr="00407000">
        <w:rPr>
          <w:u w:val="single"/>
        </w:rPr>
        <w:t>Stav opatření:</w:t>
      </w:r>
    </w:p>
    <w:p w:rsidR="00F84F32" w:rsidRDefault="00F84F32" w:rsidP="004D0D43">
      <w:r>
        <w:t>V roce 2020 plánovaná informační kampaň neproběhla z důvodu zavedených protiepidemických opatření. Veřejnost byla informována o stavu a kvalitě ovzduší ve městě prostřednictvím webových stránek města.</w:t>
      </w:r>
    </w:p>
    <w:p w:rsidR="00F84F32" w:rsidRPr="00407000" w:rsidRDefault="00F84F32" w:rsidP="00407000"/>
    <w:p w:rsidR="00F84F32" w:rsidRPr="00407000" w:rsidRDefault="00F84F32" w:rsidP="00407000">
      <w:pPr>
        <w:widowControl/>
        <w:ind w:firstLine="0"/>
        <w:rPr>
          <w:b/>
        </w:rPr>
      </w:pPr>
      <w:r w:rsidRPr="00407000">
        <w:rPr>
          <w:b/>
        </w:rPr>
        <w:t>Opatření 3.6.3 Realizace projektu Systém řízení kvality ovzduší města Olomouce</w:t>
      </w:r>
    </w:p>
    <w:p w:rsidR="00F84F32" w:rsidRPr="00407000" w:rsidRDefault="00F84F32" w:rsidP="00407000">
      <w:pPr>
        <w:ind w:firstLine="0"/>
        <w:rPr>
          <w:u w:val="single"/>
        </w:rPr>
      </w:pPr>
      <w:r w:rsidRPr="00407000">
        <w:rPr>
          <w:u w:val="single"/>
        </w:rPr>
        <w:t>Stav opatření:</w:t>
      </w:r>
    </w:p>
    <w:p w:rsidR="00F84F32" w:rsidRPr="001A0854" w:rsidRDefault="00F84F32" w:rsidP="00AD01FB">
      <w:r>
        <w:t xml:space="preserve">Systém řízení </w:t>
      </w:r>
      <w:r w:rsidRPr="001A0854">
        <w:t xml:space="preserve">kvality ovzduší města Olomouce byl v roce 2020 doplněn o </w:t>
      </w:r>
      <w:r>
        <w:t>Rozptylovou studii</w:t>
      </w:r>
      <w:r w:rsidRPr="002C447E">
        <w:t xml:space="preserve"> 2019</w:t>
      </w:r>
      <w:r w:rsidRPr="001A0854">
        <w:t>. Prezentace výsledků modelování je zveřejněna v interaktivní mapě znečištění ovzduší města Olomouce umístěné na webovém rozhraní města ve formě map s odborným obsahem.</w:t>
      </w:r>
      <w:r>
        <w:t xml:space="preserve"> </w:t>
      </w:r>
      <w:r w:rsidRPr="001A0854">
        <w:t xml:space="preserve">Doplněna byla interaktivní mapa o nový modul </w:t>
      </w:r>
      <w:r w:rsidRPr="002C447E">
        <w:t xml:space="preserve">Zdroje znečišťování ovzduší </w:t>
      </w:r>
      <w:r w:rsidRPr="001A0854">
        <w:t>implementovaný do</w:t>
      </w:r>
      <w:r w:rsidRPr="002C447E">
        <w:t xml:space="preserve"> </w:t>
      </w:r>
      <w:r w:rsidRPr="001A0854">
        <w:t>on-line interaktivní mapy znečištění ovzduší města Olomouce s</w:t>
      </w:r>
      <w:r>
        <w:t> </w:t>
      </w:r>
      <w:r w:rsidRPr="001A0854">
        <w:t xml:space="preserve">optimalizací pro chytré telefony a tablety. </w:t>
      </w:r>
    </w:p>
    <w:p w:rsidR="00F84F32" w:rsidRDefault="00F84F32" w:rsidP="00AD01FB">
      <w:r w:rsidRPr="001A0854">
        <w:t>Systém řízení kvality ovzduší města Olomouce</w:t>
      </w:r>
      <w:r>
        <w:t xml:space="preserve"> je každoročně aktualizován a financován z rozpočtu SMOl a zveřejňován na webu Statutárního města Olomouce.</w:t>
      </w:r>
    </w:p>
    <w:p w:rsidR="00F84F32" w:rsidRPr="003C7322" w:rsidRDefault="00F84F32" w:rsidP="00AD01FB"/>
    <w:p w:rsidR="00F84F32" w:rsidRPr="00407000" w:rsidRDefault="00F84F32" w:rsidP="00407000">
      <w:pPr>
        <w:widowControl/>
        <w:ind w:firstLine="0"/>
        <w:rPr>
          <w:b/>
        </w:rPr>
      </w:pPr>
      <w:r w:rsidRPr="00407000">
        <w:rPr>
          <w:b/>
        </w:rPr>
        <w:t>Opatření 3.6.4 Zpracování studií odhadů původců znečištění ovzduší ve městě směřující k identifikaci znečišťovatelů</w:t>
      </w:r>
    </w:p>
    <w:p w:rsidR="00F84F32" w:rsidRPr="00407000" w:rsidRDefault="00F84F32" w:rsidP="00407000">
      <w:pPr>
        <w:ind w:firstLine="0"/>
        <w:rPr>
          <w:u w:val="single"/>
        </w:rPr>
      </w:pPr>
      <w:r w:rsidRPr="00407000">
        <w:rPr>
          <w:u w:val="single"/>
        </w:rPr>
        <w:t>Stav opatření:</w:t>
      </w:r>
    </w:p>
    <w:p w:rsidR="00F84F32" w:rsidRDefault="00F84F32" w:rsidP="00A70F90">
      <w:r>
        <w:t xml:space="preserve">V rámci tématu identifikace zdrojů znečišťování ovzduší zahájilo město Olomouc spolupráci s ČHMÚ na výzkumném projektu TA ČR TITSMZP704. </w:t>
      </w:r>
    </w:p>
    <w:p w:rsidR="00F84F32" w:rsidRPr="00407000" w:rsidRDefault="00F84F32" w:rsidP="00407000">
      <w:pPr>
        <w:shd w:val="clear" w:color="auto" w:fill="EAF1DD"/>
        <w:ind w:firstLine="0"/>
        <w:rPr>
          <w:b/>
        </w:rPr>
      </w:pPr>
      <w:r w:rsidRPr="00407000">
        <w:rPr>
          <w:b/>
        </w:rPr>
        <w:lastRenderedPageBreak/>
        <w:t>Cíl 3.7 Kontinuálně zlepšovat technickou infrastrukturu a snižovat energetickou náročnost</w:t>
      </w:r>
    </w:p>
    <w:p w:rsidR="00F84F32" w:rsidRPr="00407000" w:rsidRDefault="00F84F32" w:rsidP="00407000"/>
    <w:tbl>
      <w:tblPr>
        <w:tblW w:w="97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93"/>
        <w:gridCol w:w="1728"/>
        <w:gridCol w:w="1080"/>
        <w:gridCol w:w="1008"/>
        <w:gridCol w:w="1260"/>
        <w:gridCol w:w="856"/>
      </w:tblGrid>
      <w:tr w:rsidR="00F84F32" w:rsidRPr="00407000" w:rsidTr="00B96A10">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9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076"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856"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c>
          <w:tcPr>
            <w:tcW w:w="560" w:type="dxa"/>
            <w:vMerge/>
          </w:tcPr>
          <w:p w:rsidR="00F84F32" w:rsidRPr="00407000" w:rsidRDefault="00F84F32" w:rsidP="00407000">
            <w:pPr>
              <w:widowControl/>
              <w:ind w:firstLine="0"/>
              <w:jc w:val="left"/>
              <w:rPr>
                <w:rFonts w:eastAsia="MS Mincho"/>
                <w:b/>
                <w:spacing w:val="4"/>
                <w:sz w:val="18"/>
                <w:szCs w:val="18"/>
                <w:lang w:eastAsia="en-US"/>
              </w:rPr>
            </w:pPr>
          </w:p>
        </w:tc>
        <w:tc>
          <w:tcPr>
            <w:tcW w:w="627" w:type="dxa"/>
            <w:vMerge/>
          </w:tcPr>
          <w:p w:rsidR="00F84F32" w:rsidRPr="00407000" w:rsidRDefault="00F84F32" w:rsidP="00407000">
            <w:pPr>
              <w:widowControl/>
              <w:ind w:firstLine="0"/>
              <w:jc w:val="left"/>
              <w:rPr>
                <w:rFonts w:eastAsia="MS Mincho"/>
                <w:b/>
                <w:spacing w:val="4"/>
                <w:sz w:val="18"/>
                <w:szCs w:val="18"/>
                <w:lang w:eastAsia="en-US"/>
              </w:rPr>
            </w:pPr>
          </w:p>
        </w:tc>
        <w:tc>
          <w:tcPr>
            <w:tcW w:w="2593" w:type="dxa"/>
            <w:vMerge/>
          </w:tcPr>
          <w:p w:rsidR="00F84F32" w:rsidRPr="00407000" w:rsidRDefault="00F84F32" w:rsidP="00407000">
            <w:pPr>
              <w:widowControl/>
              <w:ind w:firstLine="0"/>
              <w:jc w:val="left"/>
              <w:rPr>
                <w:rFonts w:eastAsia="MS Mincho"/>
                <w:b/>
                <w:spacing w:val="4"/>
                <w:sz w:val="18"/>
                <w:szCs w:val="18"/>
                <w:lang w:eastAsia="en-US"/>
              </w:rPr>
            </w:pPr>
          </w:p>
        </w:tc>
        <w:tc>
          <w:tcPr>
            <w:tcW w:w="1728"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008"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26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856" w:type="dxa"/>
            <w:vMerge/>
          </w:tcPr>
          <w:p w:rsidR="00F84F32" w:rsidRPr="00407000" w:rsidRDefault="00F84F32" w:rsidP="00407000">
            <w:pPr>
              <w:widowControl/>
              <w:ind w:firstLine="0"/>
              <w:jc w:val="left"/>
              <w:rPr>
                <w:rFonts w:eastAsia="MS Mincho"/>
                <w:b/>
                <w:spacing w:val="4"/>
                <w:sz w:val="18"/>
                <w:szCs w:val="18"/>
                <w:lang w:eastAsia="en-US"/>
              </w:rPr>
            </w:pPr>
          </w:p>
        </w:tc>
      </w:tr>
      <w:tr w:rsidR="00F84F32" w:rsidRPr="00407000" w:rsidTr="004055A7">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3.7</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38.</w:t>
            </w:r>
          </w:p>
        </w:tc>
        <w:tc>
          <w:tcPr>
            <w:tcW w:w="2593" w:type="dxa"/>
            <w:vAlign w:val="center"/>
          </w:tcPr>
          <w:p w:rsidR="00F84F32" w:rsidRPr="00407000" w:rsidRDefault="00F84F32" w:rsidP="004055A7">
            <w:pPr>
              <w:ind w:firstLine="0"/>
              <w:jc w:val="left"/>
              <w:rPr>
                <w:sz w:val="18"/>
                <w:szCs w:val="18"/>
              </w:rPr>
            </w:pPr>
            <w:r w:rsidRPr="00407000">
              <w:rPr>
                <w:sz w:val="18"/>
                <w:szCs w:val="18"/>
              </w:rPr>
              <w:t>Roční náklady na obnovu sítí vodovodů a kanalizací (mil. Kč)</w:t>
            </w:r>
          </w:p>
        </w:tc>
        <w:tc>
          <w:tcPr>
            <w:tcW w:w="1728"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93,0</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136,4</w:t>
            </w:r>
          </w:p>
        </w:tc>
        <w:tc>
          <w:tcPr>
            <w:tcW w:w="1008"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260"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70,5</w:t>
            </w:r>
          </w:p>
        </w:tc>
        <w:tc>
          <w:tcPr>
            <w:tcW w:w="856" w:type="dxa"/>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4055A7">
        <w:trPr>
          <w:trHeight w:val="416"/>
        </w:trPr>
        <w:tc>
          <w:tcPr>
            <w:tcW w:w="560" w:type="dxa"/>
            <w:vMerge/>
            <w:tcBorders>
              <w:bottom w:val="single" w:sz="12" w:space="0" w:color="000000"/>
            </w:tcBorders>
            <w:vAlign w:val="center"/>
          </w:tcPr>
          <w:p w:rsidR="00F84F32" w:rsidRPr="00407000" w:rsidRDefault="00F84F32" w:rsidP="00407000">
            <w:pPr>
              <w:widowControl/>
              <w:ind w:firstLine="0"/>
              <w:jc w:val="center"/>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39.</w:t>
            </w:r>
          </w:p>
        </w:tc>
        <w:tc>
          <w:tcPr>
            <w:tcW w:w="2593" w:type="dxa"/>
            <w:tcBorders>
              <w:bottom w:val="single" w:sz="12" w:space="0" w:color="000000"/>
            </w:tcBorders>
            <w:vAlign w:val="center"/>
          </w:tcPr>
          <w:p w:rsidR="00F84F32" w:rsidRPr="00407000" w:rsidRDefault="00F84F32" w:rsidP="004055A7">
            <w:pPr>
              <w:ind w:firstLine="0"/>
              <w:jc w:val="left"/>
              <w:rPr>
                <w:sz w:val="18"/>
                <w:szCs w:val="18"/>
              </w:rPr>
            </w:pPr>
            <w:r w:rsidRPr="00407000">
              <w:rPr>
                <w:sz w:val="18"/>
                <w:szCs w:val="18"/>
              </w:rPr>
              <w:t>Spotřeba energií v budovách a veřejného osvětlení v majetku města (MWh/rok)</w:t>
            </w:r>
            <w:r w:rsidRPr="00407000">
              <w:rPr>
                <w:rStyle w:val="Znakapoznpodarou"/>
                <w:rFonts w:eastAsia="MS Mincho"/>
                <w:spacing w:val="4"/>
                <w:sz w:val="18"/>
                <w:szCs w:val="18"/>
                <w:lang w:eastAsia="en-US"/>
              </w:rPr>
              <w:t xml:space="preserve"> </w:t>
            </w:r>
            <w:r w:rsidRPr="00407000">
              <w:rPr>
                <w:rStyle w:val="Znakapoznpodarou"/>
                <w:rFonts w:eastAsia="MS Mincho"/>
                <w:spacing w:val="4"/>
                <w:sz w:val="18"/>
                <w:szCs w:val="18"/>
                <w:lang w:eastAsia="en-US"/>
              </w:rPr>
              <w:footnoteReference w:id="30"/>
            </w:r>
          </w:p>
        </w:tc>
        <w:tc>
          <w:tcPr>
            <w:tcW w:w="1728"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Budovy /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Veřejné osvětlení / -</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008"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26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Budovy /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Veřejné osvětlení / 0,5</w:t>
            </w:r>
            <w:r>
              <w:rPr>
                <w:rFonts w:eastAsia="MS Mincho"/>
                <w:spacing w:val="4"/>
                <w:sz w:val="18"/>
                <w:szCs w:val="18"/>
                <w:lang w:eastAsia="en-US"/>
              </w:rPr>
              <w:t>89</w:t>
            </w:r>
          </w:p>
        </w:tc>
        <w:tc>
          <w:tcPr>
            <w:tcW w:w="856" w:type="dxa"/>
            <w:tcBorders>
              <w:bottom w:val="single" w:sz="12" w:space="0" w:color="000000"/>
            </w:tcBorders>
            <w:vAlign w:val="center"/>
          </w:tcPr>
          <w:p w:rsidR="00F84F32" w:rsidRPr="00407000" w:rsidRDefault="00F84F32" w:rsidP="00407000">
            <w:pPr>
              <w:ind w:firstLine="0"/>
              <w:jc w:val="center"/>
              <w:rPr>
                <w:sz w:val="18"/>
                <w:szCs w:val="18"/>
              </w:rPr>
            </w:pPr>
          </w:p>
        </w:tc>
      </w:tr>
    </w:tbl>
    <w:p w:rsidR="00F84F32" w:rsidRPr="00407000" w:rsidRDefault="00F84F32" w:rsidP="00407000"/>
    <w:p w:rsidR="00F84F32" w:rsidRPr="00407000" w:rsidRDefault="00F84F32" w:rsidP="00407000">
      <w:pPr>
        <w:ind w:firstLine="0"/>
      </w:pPr>
      <w:r w:rsidRPr="00407000">
        <w:rPr>
          <w:b/>
        </w:rPr>
        <w:t xml:space="preserve">Opatření 3.7.1 Realizace aktivit Plánu obnovy a rozvoje vodohospodářské infrastruktury </w:t>
      </w:r>
    </w:p>
    <w:p w:rsidR="00F84F32" w:rsidRPr="00407000" w:rsidRDefault="00F84F32" w:rsidP="00407000">
      <w:pPr>
        <w:ind w:firstLine="0"/>
        <w:rPr>
          <w:u w:val="single"/>
        </w:rPr>
      </w:pPr>
      <w:r w:rsidRPr="00407000">
        <w:rPr>
          <w:u w:val="single"/>
        </w:rPr>
        <w:t>Stav opatření:</w:t>
      </w:r>
    </w:p>
    <w:p w:rsidR="00F84F32" w:rsidRPr="00407000" w:rsidRDefault="00F84F32" w:rsidP="00AD01FB">
      <w:pPr>
        <w:rPr>
          <w:kern w:val="24"/>
        </w:rPr>
      </w:pPr>
      <w:r w:rsidRPr="00407000">
        <w:rPr>
          <w:kern w:val="24"/>
        </w:rPr>
        <w:t>V roce 20</w:t>
      </w:r>
      <w:r>
        <w:rPr>
          <w:kern w:val="24"/>
        </w:rPr>
        <w:t>20</w:t>
      </w:r>
      <w:r w:rsidRPr="00407000">
        <w:rPr>
          <w:kern w:val="24"/>
        </w:rPr>
        <w:t xml:space="preserve"> došlo v rámci naplňování Plánu obnovy a rozvoje vodohospodářské infrastruktury k realizaci celkem </w:t>
      </w:r>
      <w:r>
        <w:rPr>
          <w:kern w:val="24"/>
        </w:rPr>
        <w:t>5</w:t>
      </w:r>
      <w:r w:rsidRPr="00407000">
        <w:rPr>
          <w:kern w:val="24"/>
        </w:rPr>
        <w:t xml:space="preserve"> investičních akc</w:t>
      </w:r>
      <w:r>
        <w:rPr>
          <w:kern w:val="24"/>
        </w:rPr>
        <w:t>í</w:t>
      </w:r>
      <w:r w:rsidRPr="00407000">
        <w:rPr>
          <w:kern w:val="24"/>
        </w:rPr>
        <w:t xml:space="preserve"> a </w:t>
      </w:r>
      <w:r>
        <w:rPr>
          <w:kern w:val="24"/>
        </w:rPr>
        <w:t xml:space="preserve">dále </w:t>
      </w:r>
      <w:r w:rsidRPr="00407000">
        <w:rPr>
          <w:kern w:val="24"/>
        </w:rPr>
        <w:t xml:space="preserve">k pořízení projektových dokumentací v celkové hodnotě </w:t>
      </w:r>
      <w:r>
        <w:rPr>
          <w:kern w:val="24"/>
        </w:rPr>
        <w:t>31,74</w:t>
      </w:r>
      <w:r w:rsidRPr="00407000">
        <w:rPr>
          <w:kern w:val="24"/>
        </w:rPr>
        <w:t xml:space="preserve"> mil. Kč z rozpočtu města. Jednalo se např. o</w:t>
      </w:r>
      <w:r>
        <w:rPr>
          <w:kern w:val="24"/>
        </w:rPr>
        <w:t> </w:t>
      </w:r>
      <w:r w:rsidRPr="00407000">
        <w:rPr>
          <w:kern w:val="24"/>
        </w:rPr>
        <w:t xml:space="preserve">rekonstrukci kanalizace </w:t>
      </w:r>
      <w:r>
        <w:rPr>
          <w:kern w:val="24"/>
        </w:rPr>
        <w:t xml:space="preserve">v Týnečku, dále v ulicích Blanická, Jiráskova, Zikova a měření vypouštění odpadních vod na ČOV Lošov. </w:t>
      </w:r>
    </w:p>
    <w:p w:rsidR="00F84F32" w:rsidRPr="00407000" w:rsidRDefault="00F84F32" w:rsidP="00AD01FB">
      <w:pPr>
        <w:rPr>
          <w:kern w:val="24"/>
        </w:rPr>
      </w:pPr>
      <w:r w:rsidRPr="00407000">
        <w:rPr>
          <w:kern w:val="24"/>
        </w:rPr>
        <w:t>V roce 20</w:t>
      </w:r>
      <w:r>
        <w:rPr>
          <w:kern w:val="24"/>
        </w:rPr>
        <w:t>20</w:t>
      </w:r>
      <w:r w:rsidRPr="00407000">
        <w:rPr>
          <w:kern w:val="24"/>
        </w:rPr>
        <w:t xml:space="preserve"> byly také realizovány akce z provozních prostředků společnosti MORAVSKA VODARENSKÁ, a.s. za 38,</w:t>
      </w:r>
      <w:r>
        <w:rPr>
          <w:kern w:val="24"/>
        </w:rPr>
        <w:t>74</w:t>
      </w:r>
      <w:r w:rsidRPr="00407000">
        <w:rPr>
          <w:kern w:val="24"/>
        </w:rPr>
        <w:t xml:space="preserve"> mil. Kč. Zde se jednalo zejména o sanaci částí páteřního vodovodního řadu DN 700 a dále o opravy vodohospodářské infrastruktury v</w:t>
      </w:r>
      <w:r>
        <w:rPr>
          <w:kern w:val="24"/>
        </w:rPr>
        <w:t> </w:t>
      </w:r>
      <w:r w:rsidRPr="00407000">
        <w:rPr>
          <w:kern w:val="24"/>
        </w:rPr>
        <w:t xml:space="preserve">různém rozsahu. </w:t>
      </w:r>
    </w:p>
    <w:p w:rsidR="00F84F32" w:rsidRPr="00407000" w:rsidRDefault="00F84F32" w:rsidP="00AD01FB">
      <w:pPr>
        <w:rPr>
          <w:b/>
        </w:rPr>
      </w:pPr>
    </w:p>
    <w:p w:rsidR="00F84F32" w:rsidRPr="00407000" w:rsidRDefault="00F84F32" w:rsidP="00407000">
      <w:pPr>
        <w:ind w:firstLine="0"/>
        <w:textAlignment w:val="baseline"/>
        <w:rPr>
          <w:b/>
        </w:rPr>
      </w:pPr>
      <w:r w:rsidRPr="00407000">
        <w:rPr>
          <w:b/>
        </w:rPr>
        <w:t xml:space="preserve">Opatření 3.7.2 Vytvoření a realizace Plánu opatření na snižování energetické náročnosti budov a veřejného osvětlení v majetku města </w:t>
      </w:r>
    </w:p>
    <w:p w:rsidR="00F84F32" w:rsidRPr="00407000" w:rsidRDefault="00F84F32" w:rsidP="00407000">
      <w:pPr>
        <w:ind w:firstLine="0"/>
        <w:rPr>
          <w:u w:val="single"/>
        </w:rPr>
      </w:pPr>
      <w:r w:rsidRPr="00407000">
        <w:rPr>
          <w:u w:val="single"/>
        </w:rPr>
        <w:t>Stav opatření:</w:t>
      </w:r>
    </w:p>
    <w:p w:rsidR="00F84F32" w:rsidRDefault="00F84F32" w:rsidP="00AD01FB">
      <w:r>
        <w:t>Od září 2020 se pořizuje strategický dokument Plán rozvoje veřejného osvětlení ve městě Olomouci, jehož dokončení a schválení se předpokládá do konce roku 2021. Cílem plánu rozvoje VO je postupná modernizace a snižování energetické náročnosti veřejného osvětlení v majetku města. V prosinci 2020 statutární město Olomouc přistoupilo k Paktu starostů a primátorů v oblasti klimatu a energie. Tento krok signatáře paktu zavazuje zpracovat do dvou let Akční plán pro udržitelnou energii a klima (SECAP).</w:t>
      </w:r>
    </w:p>
    <w:p w:rsidR="00F84F32" w:rsidRPr="00407000" w:rsidRDefault="00F84F32" w:rsidP="00A70F90">
      <w:r>
        <w:t>V roce 2020 město dokončilo další realizaci energeticky úsporných opatření za více než 10 mil. Kč na bytovém domě Handkeho 1 prostřednictvím Správy nemovitostí Olomouc, a.s. Rekonstrukce přináší větší komfort bydlení nájemníků i úspory nákladů za energie v předpokládaném objemu až 30 %. V průběhu roku byla dokončena projektová dokumentace na další energetická opatření v objektech města. Jedná se o MŠ Dělnická 17 B, Olomouc, kde půjde o zateplení obvodového pláště, výměnu původních otvorových výplní, zateplení plochých střech včetně nového provedení hromosvodů, zateplení stropu suterénu a osazení nuceného větrání s rekuperací pro prostory učeben, šaten a hygienického zázemí, včetně řešení sanace vlhkosti zdiva. U MŠ Husitská a dětského centra se energetická opatření budou týkat zejména výměny původních otvorových výplní, zateplení obvodového pláště a ploché střechy, výměny meziokenních vložek, zateplení stropu suterénu a osazení nuceného větrání s rekuperací. Realizace je plánována na rok 2021.</w:t>
      </w:r>
    </w:p>
    <w:p w:rsidR="00F84F32" w:rsidRPr="00407000" w:rsidRDefault="00F84F32" w:rsidP="00A21A80">
      <w:pPr>
        <w:pStyle w:val="Nadpis1"/>
        <w:keepNext/>
        <w:widowControl/>
        <w:numPr>
          <w:ilvl w:val="0"/>
          <w:numId w:val="20"/>
        </w:numPr>
        <w:shd w:val="clear" w:color="auto" w:fill="805AC0"/>
        <w:tabs>
          <w:tab w:val="clear" w:pos="720"/>
        </w:tabs>
        <w:ind w:left="567" w:hanging="567"/>
        <w:jc w:val="left"/>
        <w:rPr>
          <w:color w:val="FFFFFF"/>
          <w:sz w:val="28"/>
          <w:szCs w:val="28"/>
        </w:rPr>
      </w:pPr>
      <w:bookmarkStart w:id="19" w:name="_Toc15637087"/>
      <w:bookmarkStart w:id="20" w:name="_Toc45699133"/>
      <w:r w:rsidRPr="00407000">
        <w:rPr>
          <w:color w:val="FFFFFF"/>
          <w:sz w:val="28"/>
          <w:szCs w:val="28"/>
        </w:rPr>
        <w:lastRenderedPageBreak/>
        <w:t>Pilíř 4: Olomouc – funkční centrum regionu</w:t>
      </w:r>
      <w:bookmarkEnd w:id="19"/>
      <w:bookmarkEnd w:id="20"/>
    </w:p>
    <w:p w:rsidR="00F84F32" w:rsidRPr="00407000" w:rsidRDefault="00F84F32" w:rsidP="00407000"/>
    <w:p w:rsidR="00F84F32" w:rsidRPr="00407000" w:rsidRDefault="00F84F32" w:rsidP="00407000"/>
    <w:p w:rsidR="00F84F32" w:rsidRPr="00407000" w:rsidRDefault="00F84F32" w:rsidP="00407000">
      <w:pPr>
        <w:shd w:val="clear" w:color="auto" w:fill="E5DFEC"/>
        <w:ind w:firstLine="0"/>
        <w:rPr>
          <w:b/>
        </w:rPr>
      </w:pPr>
      <w:r w:rsidRPr="00407000">
        <w:rPr>
          <w:b/>
        </w:rPr>
        <w:t>Cíl 4.1 Dodržovat principy zdravého finančního řízení</w:t>
      </w:r>
    </w:p>
    <w:p w:rsidR="00F84F32" w:rsidRPr="00407000" w:rsidRDefault="00F84F32" w:rsidP="00407000"/>
    <w:tbl>
      <w:tblPr>
        <w:tblW w:w="983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163"/>
        <w:gridCol w:w="1163"/>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0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209"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507" w:type="dxa"/>
            <w:vMerge/>
          </w:tcPr>
          <w:p w:rsidR="00F84F32" w:rsidRPr="00407000" w:rsidRDefault="00F84F32" w:rsidP="00407000">
            <w:pPr>
              <w:widowControl/>
              <w:ind w:firstLine="0"/>
              <w:jc w:val="center"/>
              <w:rPr>
                <w:rFonts w:eastAsia="MS Mincho"/>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16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16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B96A10">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4.1</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40.</w:t>
            </w:r>
          </w:p>
        </w:tc>
        <w:tc>
          <w:tcPr>
            <w:tcW w:w="2507" w:type="dxa"/>
            <w:vAlign w:val="center"/>
          </w:tcPr>
          <w:p w:rsidR="00F84F32" w:rsidRPr="00407000" w:rsidRDefault="00F84F32" w:rsidP="00407000">
            <w:pPr>
              <w:ind w:firstLine="0"/>
              <w:jc w:val="left"/>
              <w:rPr>
                <w:sz w:val="18"/>
                <w:szCs w:val="18"/>
              </w:rPr>
            </w:pPr>
            <w:r w:rsidRPr="00407000">
              <w:rPr>
                <w:sz w:val="18"/>
                <w:szCs w:val="18"/>
              </w:rPr>
              <w:t xml:space="preserve">Podíl cizích zdrojů k celkovým aktivům (zadlužení města) (%) </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11,92</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10,50</w:t>
            </w:r>
          </w:p>
        </w:tc>
        <w:tc>
          <w:tcPr>
            <w:tcW w:w="116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16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12,</w:t>
            </w:r>
            <w:r>
              <w:rPr>
                <w:rFonts w:eastAsia="MS Mincho"/>
                <w:spacing w:val="4"/>
                <w:sz w:val="18"/>
                <w:szCs w:val="18"/>
                <w:lang w:eastAsia="en-US"/>
              </w:rPr>
              <w:t>35</w:t>
            </w:r>
          </w:p>
        </w:tc>
        <w:tc>
          <w:tcPr>
            <w:tcW w:w="928" w:type="dxa"/>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B96A10">
        <w:trPr>
          <w:trHeight w:val="416"/>
        </w:trPr>
        <w:tc>
          <w:tcPr>
            <w:tcW w:w="560" w:type="dxa"/>
            <w:vMerge/>
            <w:vAlign w:val="center"/>
          </w:tcPr>
          <w:p w:rsidR="00F84F32" w:rsidRPr="00407000" w:rsidRDefault="00F84F32" w:rsidP="00407000">
            <w:pPr>
              <w:ind w:firstLine="0"/>
              <w:jc w:val="center"/>
              <w:rPr>
                <w:color w:val="000000"/>
                <w:sz w:val="18"/>
                <w:szCs w:val="18"/>
              </w:rPr>
            </w:pP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41.</w:t>
            </w:r>
          </w:p>
        </w:tc>
        <w:tc>
          <w:tcPr>
            <w:tcW w:w="2507" w:type="dxa"/>
            <w:vAlign w:val="center"/>
          </w:tcPr>
          <w:p w:rsidR="00F84F32" w:rsidRPr="00407000" w:rsidRDefault="00F84F32" w:rsidP="00407000">
            <w:pPr>
              <w:ind w:firstLine="0"/>
              <w:jc w:val="left"/>
              <w:rPr>
                <w:sz w:val="18"/>
                <w:szCs w:val="18"/>
              </w:rPr>
            </w:pPr>
            <w:r w:rsidRPr="00407000">
              <w:rPr>
                <w:sz w:val="18"/>
                <w:szCs w:val="18"/>
              </w:rPr>
              <w:t>Celková likvidita (hodnota)</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3,11</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w:t>
            </w:r>
            <w:r>
              <w:rPr>
                <w:rFonts w:eastAsia="MS Mincho"/>
                <w:spacing w:val="4"/>
                <w:sz w:val="18"/>
                <w:szCs w:val="18"/>
                <w:lang w:eastAsia="en-US"/>
              </w:rPr>
              <w:t>00</w:t>
            </w:r>
          </w:p>
        </w:tc>
        <w:tc>
          <w:tcPr>
            <w:tcW w:w="116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16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w:t>
            </w:r>
            <w:r>
              <w:rPr>
                <w:rFonts w:eastAsia="MS Mincho"/>
                <w:spacing w:val="4"/>
                <w:sz w:val="18"/>
                <w:szCs w:val="18"/>
                <w:lang w:eastAsia="en-US"/>
              </w:rPr>
              <w:t>16</w:t>
            </w:r>
          </w:p>
        </w:tc>
        <w:tc>
          <w:tcPr>
            <w:tcW w:w="928" w:type="dxa"/>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r w:rsidR="00F84F32" w:rsidRPr="00407000" w:rsidTr="00B96A10">
        <w:trPr>
          <w:trHeight w:val="416"/>
        </w:trPr>
        <w:tc>
          <w:tcPr>
            <w:tcW w:w="560" w:type="dxa"/>
            <w:vMerge/>
            <w:tcBorders>
              <w:bottom w:val="single" w:sz="12" w:space="0" w:color="000000"/>
            </w:tcBorders>
            <w:vAlign w:val="center"/>
          </w:tcPr>
          <w:p w:rsidR="00F84F32" w:rsidRPr="00407000" w:rsidRDefault="00F84F32" w:rsidP="00407000">
            <w:pPr>
              <w:ind w:firstLine="0"/>
              <w:jc w:val="center"/>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42.</w:t>
            </w:r>
          </w:p>
        </w:tc>
        <w:tc>
          <w:tcPr>
            <w:tcW w:w="2507" w:type="dxa"/>
            <w:tcBorders>
              <w:bottom w:val="single" w:sz="12" w:space="0" w:color="000000"/>
            </w:tcBorders>
            <w:vAlign w:val="center"/>
          </w:tcPr>
          <w:p w:rsidR="00F84F32" w:rsidRPr="00407000" w:rsidRDefault="00F84F32" w:rsidP="00407000">
            <w:pPr>
              <w:ind w:firstLine="0"/>
              <w:jc w:val="left"/>
              <w:rPr>
                <w:sz w:val="18"/>
                <w:szCs w:val="18"/>
              </w:rPr>
            </w:pPr>
            <w:r w:rsidRPr="003C665A">
              <w:rPr>
                <w:sz w:val="18"/>
                <w:szCs w:val="18"/>
              </w:rPr>
              <w:t>Provozní saldo</w:t>
            </w:r>
            <w:r w:rsidRPr="00407000">
              <w:rPr>
                <w:sz w:val="18"/>
                <w:szCs w:val="18"/>
              </w:rPr>
              <w:t xml:space="preserve"> (mil. Kč)</w:t>
            </w:r>
          </w:p>
        </w:tc>
        <w:tc>
          <w:tcPr>
            <w:tcW w:w="1706"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355</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4</w:t>
            </w:r>
            <w:r w:rsidRPr="00407000">
              <w:rPr>
                <w:rFonts w:eastAsia="MS Mincho"/>
                <w:spacing w:val="4"/>
                <w:sz w:val="18"/>
                <w:szCs w:val="18"/>
                <w:lang w:eastAsia="en-US"/>
              </w:rPr>
              <w:t>50</w:t>
            </w:r>
          </w:p>
        </w:tc>
        <w:tc>
          <w:tcPr>
            <w:tcW w:w="116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16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3</w:t>
            </w:r>
            <w:r>
              <w:rPr>
                <w:rFonts w:eastAsia="MS Mincho"/>
                <w:spacing w:val="4"/>
                <w:sz w:val="18"/>
                <w:szCs w:val="18"/>
                <w:lang w:eastAsia="en-US"/>
              </w:rPr>
              <w:t>20,5</w:t>
            </w:r>
          </w:p>
        </w:tc>
        <w:tc>
          <w:tcPr>
            <w:tcW w:w="928" w:type="dxa"/>
            <w:tcBorders>
              <w:bottom w:val="single" w:sz="12" w:space="0" w:color="000000"/>
            </w:tcBorders>
            <w:shd w:val="clear" w:color="auto" w:fill="FF0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C"/>
            </w:r>
          </w:p>
        </w:tc>
      </w:tr>
    </w:tbl>
    <w:p w:rsidR="00F84F32" w:rsidRDefault="00F84F32" w:rsidP="00AD01FB"/>
    <w:p w:rsidR="00F84F32" w:rsidRPr="00407000" w:rsidRDefault="00F84F32" w:rsidP="00407000">
      <w:pPr>
        <w:ind w:firstLine="0"/>
        <w:rPr>
          <w:b/>
        </w:rPr>
      </w:pPr>
      <w:r w:rsidRPr="00407000">
        <w:rPr>
          <w:b/>
        </w:rPr>
        <w:t xml:space="preserve">Opatření 4.1.1 Udržení provozního přebytku ve výsledcích hospodaření </w:t>
      </w:r>
    </w:p>
    <w:p w:rsidR="00F84F32" w:rsidRPr="00407000" w:rsidRDefault="00F84F32" w:rsidP="00407000">
      <w:pPr>
        <w:ind w:firstLine="0"/>
        <w:rPr>
          <w:u w:val="single"/>
        </w:rPr>
      </w:pPr>
      <w:r w:rsidRPr="00407000">
        <w:rPr>
          <w:u w:val="single"/>
        </w:rPr>
        <w:t>Stav opatření:</w:t>
      </w:r>
    </w:p>
    <w:p w:rsidR="00F84F32" w:rsidRDefault="00F84F32" w:rsidP="00536A04">
      <w:r>
        <w:t xml:space="preserve">Provozní saldo, které představuje rozdíl mezi běžnými příjmy a běžnými výdaji, činilo v roce 2020 celkem 320 507  tis. Kč.  </w:t>
      </w:r>
    </w:p>
    <w:p w:rsidR="00F84F32" w:rsidRPr="00407000" w:rsidRDefault="00F84F32" w:rsidP="00AD01FB"/>
    <w:p w:rsidR="00F84F32" w:rsidRPr="00407000" w:rsidRDefault="00F84F32" w:rsidP="00407000">
      <w:pPr>
        <w:ind w:firstLine="0"/>
        <w:rPr>
          <w:b/>
        </w:rPr>
      </w:pPr>
      <w:r w:rsidRPr="00407000">
        <w:rPr>
          <w:b/>
        </w:rPr>
        <w:t xml:space="preserve">Opatření 4.1.2 Sestavování a aktualizace střednědobých plánů </w:t>
      </w:r>
    </w:p>
    <w:p w:rsidR="00F84F32" w:rsidRPr="0012050E" w:rsidRDefault="00F84F32" w:rsidP="0012050E">
      <w:pPr>
        <w:ind w:firstLine="0"/>
        <w:rPr>
          <w:u w:val="single"/>
        </w:rPr>
      </w:pPr>
      <w:r w:rsidRPr="00407000">
        <w:rPr>
          <w:u w:val="single"/>
        </w:rPr>
        <w:t>Stav opatření:</w:t>
      </w:r>
    </w:p>
    <w:p w:rsidR="00F84F32" w:rsidRDefault="00F84F32" w:rsidP="00536A04">
      <w:r>
        <w:t xml:space="preserve">V roce 2020 probíhala aktualizace střednědobého investičního plánu. Tento dokument je stěžejním materiálem pro kontrolu finančních toků, zejména při sestavování střednědobého výhledu hospodaření na následující 4 roky. Dokument umožňuje přesnější odhad zdrojů zajišťujících plánované investiční projekty v letech, zároveň poskytuje informace o očekávaných souvisejících dotacích. </w:t>
      </w:r>
    </w:p>
    <w:p w:rsidR="00F84F32" w:rsidRPr="00407000" w:rsidRDefault="00F84F32" w:rsidP="00407000">
      <w:pPr>
        <w:ind w:firstLine="0"/>
        <w:rPr>
          <w:b/>
        </w:rPr>
      </w:pPr>
    </w:p>
    <w:p w:rsidR="00F84F32" w:rsidRPr="00407000" w:rsidRDefault="00F84F32" w:rsidP="00407000">
      <w:pPr>
        <w:ind w:firstLine="0"/>
        <w:rPr>
          <w:b/>
        </w:rPr>
      </w:pPr>
      <w:r w:rsidRPr="00407000">
        <w:rPr>
          <w:b/>
        </w:rPr>
        <w:t xml:space="preserve">Opatření 4.1.3 Zkvalitnění zejména vnitřního kontrolního systému a auditu </w:t>
      </w:r>
    </w:p>
    <w:p w:rsidR="00F84F32" w:rsidRPr="00407000" w:rsidRDefault="00F84F32" w:rsidP="00407000">
      <w:pPr>
        <w:ind w:firstLine="0"/>
        <w:rPr>
          <w:u w:val="single"/>
        </w:rPr>
      </w:pPr>
      <w:r w:rsidRPr="00407000">
        <w:rPr>
          <w:u w:val="single"/>
        </w:rPr>
        <w:t>Stav opatření:</w:t>
      </w:r>
    </w:p>
    <w:p w:rsidR="00F84F32" w:rsidRDefault="00F84F32" w:rsidP="00226B58">
      <w:r>
        <w:t xml:space="preserve">Stejně jako každý rok, tak i v roce 2020 se ekonomický odbor v součinnosti s ostatními odbory zabýval otázkou nastavení kontrolního systému zejména v oblasti hospodaření s finančními prostředky města. S tím úzce souvisí podoba a proces schvalování rozpočtu na další kalendářní rok. Kontrola je podpořena aktualizacemi předpisů, zejména pro oběh, zpracování a finanční kontrolu účetních dokladů SMOl, kterým jsou povinně se řídit všichni pracovníci SMOl. Jedná se o strategický dokument, který je neustále sledovaný a pravidelně aktualizovaný dle platné legislativy a potřeb SMOl. Detailně nastavený vnitřní kontrolní systém je každoročně doplněný kontrolou externí auditorské společnosti a kontrolou ze strany ratingové agentury. </w:t>
      </w:r>
    </w:p>
    <w:p w:rsidR="00F84F32" w:rsidRDefault="00F84F32" w:rsidP="00AD01FB"/>
    <w:p w:rsidR="00F84F32" w:rsidRDefault="00F84F32" w:rsidP="00AD01FB"/>
    <w:p w:rsidR="00F84F32" w:rsidRPr="00407000" w:rsidRDefault="00F84F32" w:rsidP="00407000">
      <w:pPr>
        <w:shd w:val="clear" w:color="auto" w:fill="E5DFEC"/>
        <w:ind w:firstLine="0"/>
        <w:rPr>
          <w:b/>
        </w:rPr>
      </w:pPr>
      <w:r w:rsidRPr="00407000">
        <w:rPr>
          <w:b/>
        </w:rPr>
        <w:t>Cíl 4.2 Rozvíjet roli města jako významného partnera při vyjednávání o klíčových oblastech života ve městě</w:t>
      </w:r>
    </w:p>
    <w:p w:rsidR="00F84F32" w:rsidRPr="00407000" w:rsidRDefault="00F84F32" w:rsidP="00407000"/>
    <w:tbl>
      <w:tblPr>
        <w:tblW w:w="974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260"/>
        <w:gridCol w:w="983"/>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0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126"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507" w:type="dxa"/>
            <w:vMerge/>
          </w:tcPr>
          <w:p w:rsidR="00F84F32" w:rsidRPr="00407000" w:rsidRDefault="00F84F32" w:rsidP="00407000">
            <w:pPr>
              <w:widowControl/>
              <w:ind w:firstLine="0"/>
              <w:jc w:val="center"/>
              <w:rPr>
                <w:rFonts w:eastAsia="MS Mincho"/>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26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98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B96A10">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4.2</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43.</w:t>
            </w:r>
          </w:p>
        </w:tc>
        <w:tc>
          <w:tcPr>
            <w:tcW w:w="2507" w:type="dxa"/>
            <w:vAlign w:val="center"/>
          </w:tcPr>
          <w:p w:rsidR="00F84F32" w:rsidRPr="00407000" w:rsidRDefault="00F84F32" w:rsidP="00407000">
            <w:pPr>
              <w:ind w:firstLine="0"/>
              <w:jc w:val="left"/>
              <w:rPr>
                <w:sz w:val="18"/>
                <w:szCs w:val="18"/>
              </w:rPr>
            </w:pPr>
            <w:r w:rsidRPr="00407000">
              <w:rPr>
                <w:sz w:val="18"/>
                <w:szCs w:val="18"/>
              </w:rPr>
              <w:t xml:space="preserve">Počet platforem/asociací, v nichž je politický zástupce </w:t>
            </w:r>
            <w:r w:rsidRPr="00407000">
              <w:rPr>
                <w:sz w:val="18"/>
                <w:szCs w:val="18"/>
              </w:rPr>
              <w:lastRenderedPageBreak/>
              <w:t xml:space="preserve">města aktivním členem </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lastRenderedPageBreak/>
              <w:t>14</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nebyl stanoven</w:t>
            </w:r>
          </w:p>
        </w:tc>
        <w:tc>
          <w:tcPr>
            <w:tcW w:w="126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Monitorovat</w:t>
            </w:r>
          </w:p>
        </w:tc>
        <w:tc>
          <w:tcPr>
            <w:tcW w:w="983" w:type="dxa"/>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14</w:t>
            </w:r>
          </w:p>
        </w:tc>
        <w:tc>
          <w:tcPr>
            <w:tcW w:w="928" w:type="dxa"/>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r w:rsidR="00F84F32" w:rsidRPr="00407000" w:rsidTr="00B96A10">
        <w:trPr>
          <w:trHeight w:val="416"/>
        </w:trPr>
        <w:tc>
          <w:tcPr>
            <w:tcW w:w="560" w:type="dxa"/>
            <w:vMerge/>
            <w:tcBorders>
              <w:bottom w:val="single" w:sz="12" w:space="0" w:color="000000"/>
            </w:tcBorders>
            <w:vAlign w:val="center"/>
          </w:tcPr>
          <w:p w:rsidR="00F84F32" w:rsidRPr="00407000" w:rsidRDefault="00F84F32" w:rsidP="00407000">
            <w:pPr>
              <w:ind w:firstLine="0"/>
              <w:jc w:val="center"/>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44.</w:t>
            </w:r>
          </w:p>
        </w:tc>
        <w:tc>
          <w:tcPr>
            <w:tcW w:w="2507"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Počet projektů, které byly podpořeny v rámci ITI Olomoucké aglomerace (počet</w:t>
            </w:r>
            <w:r>
              <w:rPr>
                <w:sz w:val="18"/>
                <w:szCs w:val="18"/>
              </w:rPr>
              <w:t xml:space="preserve"> kumulovaný</w:t>
            </w:r>
            <w:r w:rsidRPr="00407000">
              <w:rPr>
                <w:sz w:val="18"/>
                <w:szCs w:val="18"/>
              </w:rPr>
              <w:t>)</w:t>
            </w:r>
          </w:p>
        </w:tc>
        <w:tc>
          <w:tcPr>
            <w:tcW w:w="1706"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140</w:t>
            </w:r>
          </w:p>
        </w:tc>
        <w:tc>
          <w:tcPr>
            <w:tcW w:w="126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98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w:t>
            </w:r>
            <w:r>
              <w:rPr>
                <w:rFonts w:eastAsia="MS Mincho"/>
                <w:spacing w:val="4"/>
                <w:sz w:val="18"/>
                <w:szCs w:val="18"/>
                <w:lang w:eastAsia="en-US"/>
              </w:rPr>
              <w:t>68</w:t>
            </w:r>
          </w:p>
        </w:tc>
        <w:tc>
          <w:tcPr>
            <w:tcW w:w="928" w:type="dxa"/>
            <w:tcBorders>
              <w:bottom w:val="single" w:sz="12" w:space="0" w:color="000000"/>
            </w:tcBorders>
            <w:shd w:val="clear" w:color="auto" w:fill="99CC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A"/>
            </w:r>
          </w:p>
        </w:tc>
      </w:tr>
    </w:tbl>
    <w:p w:rsidR="00F84F32" w:rsidRPr="00407000" w:rsidRDefault="00F84F32" w:rsidP="00AD01FB"/>
    <w:p w:rsidR="00F84F32" w:rsidRPr="00407000" w:rsidRDefault="00F84F32" w:rsidP="00407000">
      <w:pPr>
        <w:ind w:firstLine="0"/>
        <w:rPr>
          <w:b/>
        </w:rPr>
      </w:pPr>
      <w:r w:rsidRPr="00407000">
        <w:rPr>
          <w:b/>
        </w:rPr>
        <w:t xml:space="preserve">Opatření 4.2.1 Realizace strategie ITI Olomoucké aglomerace a příprava na programové období 2021+ </w:t>
      </w:r>
    </w:p>
    <w:p w:rsidR="00F84F32" w:rsidRPr="00407000" w:rsidRDefault="00F84F32" w:rsidP="00407000">
      <w:pPr>
        <w:ind w:firstLine="0"/>
        <w:rPr>
          <w:u w:val="single"/>
        </w:rPr>
      </w:pPr>
      <w:r w:rsidRPr="00407000">
        <w:rPr>
          <w:u w:val="single"/>
        </w:rPr>
        <w:t>Stav opatření:</w:t>
      </w:r>
    </w:p>
    <w:p w:rsidR="00F84F32" w:rsidRDefault="00F84F32" w:rsidP="00AD01FB">
      <w:r w:rsidRPr="00407000">
        <w:t xml:space="preserve">V rámci implementace Integrované strategie </w:t>
      </w:r>
      <w:r>
        <w:t xml:space="preserve">ITI </w:t>
      </w:r>
      <w:r w:rsidRPr="00407000">
        <w:t>Olomoucké aglomerace bylo do konce roku 20</w:t>
      </w:r>
      <w:r>
        <w:t>20</w:t>
      </w:r>
      <w:r w:rsidRPr="00407000">
        <w:t xml:space="preserve"> vyhlášeno </w:t>
      </w:r>
      <w:r>
        <w:t>61</w:t>
      </w:r>
      <w:r w:rsidRPr="00407000">
        <w:t xml:space="preserve"> výzev, </w:t>
      </w:r>
      <w:r>
        <w:t>Ř</w:t>
      </w:r>
      <w:r w:rsidRPr="00407000">
        <w:t>ídicí výbor projednal 2</w:t>
      </w:r>
      <w:r>
        <w:t>82</w:t>
      </w:r>
      <w:r w:rsidRPr="00407000">
        <w:t xml:space="preserve"> projektových záměrů</w:t>
      </w:r>
      <w:r>
        <w:t>. V současné době je ve fyzické realizaci 80</w:t>
      </w:r>
      <w:r w:rsidRPr="00407000">
        <w:t xml:space="preserve"> integrovaných projektů</w:t>
      </w:r>
      <w:r>
        <w:t xml:space="preserve"> a 90 projektů je již finančně ukončených</w:t>
      </w:r>
      <w:r w:rsidRPr="00407000">
        <w:t>. Realizují se projekty zaměřené na rozvoj vzdělávací infrastruktury, udržitelné dopravy, kulturního dědictví, výzkumu a vývoje a odpadového hospodářství. Finanční prostředky ITI jsou dostupné i podnikatelům na území aglomerace</w:t>
      </w:r>
      <w:r>
        <w:t>,</w:t>
      </w:r>
      <w:r w:rsidRPr="00407000">
        <w:t xml:space="preserve"> a to zejména pro projekty rozvíjející vědeckou a výzkumnou podnikatelskou infrastrukturu</w:t>
      </w:r>
      <w:r>
        <w:t xml:space="preserve"> </w:t>
      </w:r>
      <w:r w:rsidRPr="00407000">
        <w:t>či nákup nových technologií. Realizace integrovaného nástroje bude probíhat až do konce roku 2023.</w:t>
      </w:r>
    </w:p>
    <w:p w:rsidR="00F84F32" w:rsidRDefault="00F84F32" w:rsidP="0011657D">
      <w:r>
        <w:t xml:space="preserve">Příprava Olomoucké aglomerace na programové období 2021+ spočívá v několikakolovém sběru projektových záměrů od jednotlivých stakeholderů (partnerů) v území. Tyto záměry jsou s předkladateli projednávány a dále zpřesňovány ve vazbě na dostupné informace nositele o přípravě jednotlivých operačních programů a aktuálně platných metodik. V průběhu roku probíhala bilaterální jednání s řídicími orgány operačních programů nad soubory projektových záměrů a samotným způsobem implementace ITI 2021+. S MMR byla také intenzivně projednávána implementace, řízení a celková podoba nástroje ITI v období 2021–2027. Koncem roku byla vyhlášena veřejná zakázka na zpracovatele Integrované strategie ITI Olomoucké aglomerace na období 2021–2027. </w:t>
      </w:r>
    </w:p>
    <w:p w:rsidR="00F84F32" w:rsidRDefault="00F84F32" w:rsidP="0011657D"/>
    <w:p w:rsidR="00F84F32" w:rsidRPr="00407000" w:rsidRDefault="00F84F32" w:rsidP="00407000">
      <w:pPr>
        <w:ind w:firstLine="0"/>
        <w:rPr>
          <w:b/>
        </w:rPr>
      </w:pPr>
      <w:r w:rsidRPr="00407000">
        <w:rPr>
          <w:b/>
        </w:rPr>
        <w:t xml:space="preserve">Opatření 4.2.2 Aktivní vyjednávání o klíčových projektech nadregionálního významu </w:t>
      </w:r>
    </w:p>
    <w:p w:rsidR="00F84F32" w:rsidRPr="00407000" w:rsidRDefault="00F84F32" w:rsidP="00407000">
      <w:pPr>
        <w:ind w:firstLine="0"/>
        <w:rPr>
          <w:u w:val="single"/>
        </w:rPr>
      </w:pPr>
      <w:r w:rsidRPr="00407000">
        <w:rPr>
          <w:u w:val="single"/>
        </w:rPr>
        <w:t>Stav opatření:</w:t>
      </w:r>
    </w:p>
    <w:p w:rsidR="00F84F32" w:rsidRPr="00407000" w:rsidRDefault="00F84F32" w:rsidP="00407000">
      <w:r w:rsidRPr="00407000">
        <w:t>V roce 20</w:t>
      </w:r>
      <w:r>
        <w:t>20</w:t>
      </w:r>
      <w:r w:rsidRPr="00407000">
        <w:t xml:space="preserve"> probíhala aktivní jednání se státními a krajskými orgány k následujícím projektům nadregionálního významu: Protipovodňová opatření na řece Moravě, Východní tangenta</w:t>
      </w:r>
      <w:r>
        <w:t>,</w:t>
      </w:r>
      <w:r w:rsidRPr="00407000">
        <w:t xml:space="preserve"> Multifunkční hala Olomouc</w:t>
      </w:r>
      <w:r>
        <w:t xml:space="preserve"> a Inovační centrum Olomouckého kraje</w:t>
      </w:r>
      <w:r w:rsidRPr="00407000">
        <w:t>.</w:t>
      </w:r>
    </w:p>
    <w:p w:rsidR="00F84F32" w:rsidRDefault="00F84F32" w:rsidP="00226B58">
      <w:pPr>
        <w:ind w:firstLine="0"/>
      </w:pPr>
    </w:p>
    <w:p w:rsidR="00F84F32" w:rsidRDefault="00F84F32" w:rsidP="00226B58">
      <w:pPr>
        <w:ind w:firstLine="0"/>
      </w:pPr>
    </w:p>
    <w:p w:rsidR="00F84F32" w:rsidRPr="00407000" w:rsidRDefault="00F84F32" w:rsidP="00407000">
      <w:pPr>
        <w:shd w:val="clear" w:color="auto" w:fill="E5DFEC"/>
        <w:ind w:firstLine="0"/>
        <w:rPr>
          <w:b/>
        </w:rPr>
      </w:pPr>
      <w:r w:rsidRPr="00407000">
        <w:rPr>
          <w:b/>
        </w:rPr>
        <w:t>Cíl 4.3 Rozvíjet principy strategického řízení a podporovat projektové řízení za účelem zvyšování kvality veřejných služeb poskytovaných magistrátem</w:t>
      </w:r>
    </w:p>
    <w:p w:rsidR="00F84F32" w:rsidRPr="003C7322" w:rsidRDefault="00F84F32" w:rsidP="00AD01FB"/>
    <w:tbl>
      <w:tblPr>
        <w:tblW w:w="989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254"/>
        <w:gridCol w:w="1779"/>
        <w:gridCol w:w="1417"/>
        <w:gridCol w:w="993"/>
        <w:gridCol w:w="1417"/>
        <w:gridCol w:w="851"/>
      </w:tblGrid>
      <w:tr w:rsidR="00F84F32" w:rsidRPr="00407000" w:rsidTr="00B96A10">
        <w:trPr>
          <w:trHeight w:val="150"/>
          <w:tblHeader/>
        </w:trPr>
        <w:tc>
          <w:tcPr>
            <w:tcW w:w="560" w:type="dxa"/>
            <w:vMerge w:val="restart"/>
            <w:tcBorders>
              <w:top w:val="single" w:sz="12" w:space="0" w:color="000000"/>
            </w:tcBorders>
            <w:shd w:val="clear" w:color="auto" w:fill="CCCCCC"/>
            <w:vAlign w:val="center"/>
          </w:tcPr>
          <w:p w:rsidR="00F84F32" w:rsidRPr="00407000" w:rsidRDefault="00F84F32" w:rsidP="00407000">
            <w:pPr>
              <w:ind w:firstLine="0"/>
              <w:jc w:val="center"/>
              <w:rPr>
                <w:b/>
                <w:color w:val="000000"/>
                <w:sz w:val="18"/>
                <w:szCs w:val="18"/>
              </w:rPr>
            </w:pPr>
            <w:r w:rsidRPr="00407000">
              <w:rPr>
                <w:b/>
                <w:color w:val="000000"/>
                <w:sz w:val="18"/>
                <w:szCs w:val="18"/>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254"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606"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851"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sz w:val="32"/>
                <w:szCs w:val="18"/>
              </w:rPr>
            </w:pPr>
            <w:r w:rsidRPr="00407000">
              <w:rPr>
                <w:rFonts w:eastAsia="MS Mincho"/>
                <w:b/>
                <w:spacing w:val="4"/>
                <w:sz w:val="18"/>
                <w:szCs w:val="18"/>
                <w:lang w:eastAsia="en-US"/>
              </w:rPr>
              <w:t>Trend plnění</w:t>
            </w:r>
          </w:p>
        </w:tc>
      </w:tr>
      <w:tr w:rsidR="00F84F32" w:rsidRPr="00407000" w:rsidTr="00B96A10">
        <w:trPr>
          <w:tblHeader/>
        </w:trPr>
        <w:tc>
          <w:tcPr>
            <w:tcW w:w="560" w:type="dxa"/>
            <w:vMerge/>
            <w:shd w:val="clear" w:color="auto" w:fill="CCCCCC"/>
            <w:vAlign w:val="center"/>
          </w:tcPr>
          <w:p w:rsidR="00F84F32" w:rsidRPr="00407000" w:rsidRDefault="00F84F32" w:rsidP="00407000">
            <w:pPr>
              <w:ind w:firstLine="0"/>
              <w:jc w:val="center"/>
              <w:rPr>
                <w:color w:val="000000"/>
                <w:sz w:val="18"/>
                <w:szCs w:val="18"/>
              </w:rPr>
            </w:pPr>
          </w:p>
        </w:tc>
        <w:tc>
          <w:tcPr>
            <w:tcW w:w="627" w:type="dxa"/>
            <w:vMerge/>
            <w:shd w:val="clear" w:color="auto" w:fill="CCCCCC"/>
            <w:vAlign w:val="center"/>
          </w:tcPr>
          <w:p w:rsidR="00F84F32" w:rsidRPr="00407000" w:rsidRDefault="00F84F32" w:rsidP="00407000">
            <w:pPr>
              <w:ind w:firstLine="27"/>
              <w:jc w:val="center"/>
              <w:rPr>
                <w:color w:val="000000"/>
                <w:sz w:val="18"/>
                <w:szCs w:val="18"/>
              </w:rPr>
            </w:pPr>
          </w:p>
        </w:tc>
        <w:tc>
          <w:tcPr>
            <w:tcW w:w="2254" w:type="dxa"/>
            <w:vMerge/>
            <w:shd w:val="clear" w:color="auto" w:fill="CCCCCC"/>
          </w:tcPr>
          <w:p w:rsidR="00F84F32" w:rsidRPr="00407000" w:rsidRDefault="00F84F32" w:rsidP="00407000">
            <w:pPr>
              <w:ind w:firstLine="0"/>
              <w:jc w:val="left"/>
              <w:rPr>
                <w:sz w:val="18"/>
                <w:szCs w:val="18"/>
              </w:rPr>
            </w:pPr>
          </w:p>
        </w:tc>
        <w:tc>
          <w:tcPr>
            <w:tcW w:w="1779"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41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99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41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851" w:type="dxa"/>
            <w:vMerge/>
            <w:shd w:val="clear" w:color="auto" w:fill="CCCCCC"/>
            <w:vAlign w:val="center"/>
          </w:tcPr>
          <w:p w:rsidR="00F84F32" w:rsidRPr="00407000" w:rsidRDefault="00F84F32" w:rsidP="00407000">
            <w:pPr>
              <w:widowControl/>
              <w:ind w:firstLine="0"/>
              <w:jc w:val="center"/>
              <w:rPr>
                <w:sz w:val="32"/>
                <w:szCs w:val="18"/>
              </w:rPr>
            </w:pPr>
          </w:p>
        </w:tc>
      </w:tr>
      <w:tr w:rsidR="00F84F32" w:rsidRPr="00407000" w:rsidTr="00A33795">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4.3</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45.</w:t>
            </w:r>
          </w:p>
        </w:tc>
        <w:tc>
          <w:tcPr>
            <w:tcW w:w="2254" w:type="dxa"/>
            <w:vAlign w:val="center"/>
          </w:tcPr>
          <w:p w:rsidR="00F84F32" w:rsidRPr="00407000" w:rsidRDefault="00F84F32" w:rsidP="00407000">
            <w:pPr>
              <w:ind w:firstLine="0"/>
              <w:jc w:val="left"/>
              <w:rPr>
                <w:sz w:val="18"/>
                <w:szCs w:val="18"/>
              </w:rPr>
            </w:pPr>
            <w:r w:rsidRPr="00407000">
              <w:rPr>
                <w:sz w:val="18"/>
                <w:szCs w:val="18"/>
              </w:rPr>
              <w:t>Spokojenost zaměstnanců Magistrátu města Olomouce s jeho fungováním (index)</w:t>
            </w:r>
            <w:r w:rsidRPr="00407000">
              <w:rPr>
                <w:rStyle w:val="Znakapoznpodarou"/>
                <w:rFonts w:eastAsia="MS Mincho"/>
                <w:spacing w:val="4"/>
                <w:sz w:val="18"/>
                <w:szCs w:val="18"/>
                <w:lang w:eastAsia="en-US"/>
              </w:rPr>
              <w:footnoteReference w:id="31"/>
            </w:r>
          </w:p>
        </w:tc>
        <w:tc>
          <w:tcPr>
            <w:tcW w:w="1779"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ano: 94,9 %;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částečně:4,9 %; ne: 0,2 %</w:t>
            </w:r>
          </w:p>
        </w:tc>
        <w:tc>
          <w:tcPr>
            <w:tcW w:w="141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ano: 94,9%; částečně:4,9 %; ne: 0,2 %</w:t>
            </w:r>
          </w:p>
        </w:tc>
        <w:tc>
          <w:tcPr>
            <w:tcW w:w="99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41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ano: 9</w:t>
            </w:r>
            <w:r>
              <w:rPr>
                <w:rFonts w:eastAsia="MS Mincho"/>
                <w:spacing w:val="4"/>
                <w:sz w:val="18"/>
                <w:szCs w:val="18"/>
                <w:lang w:eastAsia="en-US"/>
              </w:rPr>
              <w:t>2,2</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částečně:</w:t>
            </w:r>
            <w:r>
              <w:rPr>
                <w:rFonts w:eastAsia="MS Mincho"/>
                <w:spacing w:val="4"/>
                <w:sz w:val="18"/>
                <w:szCs w:val="18"/>
                <w:lang w:eastAsia="en-US"/>
              </w:rPr>
              <w:t>7,8</w:t>
            </w:r>
            <w:r w:rsidRPr="00407000">
              <w:rPr>
                <w:rFonts w:eastAsia="MS Mincho"/>
                <w:spacing w:val="4"/>
                <w:sz w:val="18"/>
                <w:szCs w:val="18"/>
                <w:lang w:eastAsia="en-US"/>
              </w:rPr>
              <w:t xml:space="preserve"> %; ne: 0,0 %</w:t>
            </w:r>
          </w:p>
        </w:tc>
        <w:tc>
          <w:tcPr>
            <w:tcW w:w="851" w:type="dxa"/>
            <w:shd w:val="clear" w:color="auto" w:fill="FFC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B"/>
            </w:r>
          </w:p>
        </w:tc>
      </w:tr>
      <w:tr w:rsidR="00F84F32" w:rsidRPr="00407000" w:rsidTr="00B96A10">
        <w:trPr>
          <w:trHeight w:val="416"/>
        </w:trPr>
        <w:tc>
          <w:tcPr>
            <w:tcW w:w="560" w:type="dxa"/>
            <w:vMerge/>
            <w:tcBorders>
              <w:bottom w:val="single" w:sz="12" w:space="0" w:color="000000"/>
            </w:tcBorders>
            <w:vAlign w:val="center"/>
          </w:tcPr>
          <w:p w:rsidR="00F84F32" w:rsidRPr="00407000" w:rsidRDefault="00F84F32" w:rsidP="00407000">
            <w:pPr>
              <w:ind w:firstLine="0"/>
              <w:jc w:val="center"/>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46.</w:t>
            </w:r>
          </w:p>
        </w:tc>
        <w:tc>
          <w:tcPr>
            <w:tcW w:w="2254"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Spokojenost občanů s fungováním magistrátu (index)</w:t>
            </w:r>
            <w:r w:rsidRPr="00407000">
              <w:rPr>
                <w:rStyle w:val="Znakapoznpodarou"/>
                <w:sz w:val="18"/>
                <w:szCs w:val="18"/>
              </w:rPr>
              <w:footnoteReference w:id="32"/>
            </w:r>
          </w:p>
        </w:tc>
        <w:tc>
          <w:tcPr>
            <w:tcW w:w="1779" w:type="dxa"/>
            <w:tcBorders>
              <w:bottom w:val="single" w:sz="12" w:space="0" w:color="000000"/>
            </w:tcBorders>
            <w:vAlign w:val="center"/>
          </w:tcPr>
          <w:p w:rsidR="00F84F32" w:rsidRDefault="00F84F32" w:rsidP="004C3A9B">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A: 97,31 %, </w:t>
            </w:r>
          </w:p>
          <w:p w:rsidR="00F84F32" w:rsidRDefault="00F84F32" w:rsidP="004C3A9B">
            <w:pPr>
              <w:widowControl/>
              <w:ind w:firstLine="0"/>
              <w:jc w:val="center"/>
              <w:rPr>
                <w:rFonts w:eastAsia="MS Mincho"/>
                <w:spacing w:val="4"/>
                <w:sz w:val="18"/>
                <w:szCs w:val="18"/>
                <w:lang w:eastAsia="en-US"/>
              </w:rPr>
            </w:pPr>
            <w:r w:rsidRPr="00407000">
              <w:rPr>
                <w:rFonts w:eastAsia="MS Mincho"/>
                <w:spacing w:val="4"/>
                <w:sz w:val="18"/>
                <w:szCs w:val="18"/>
                <w:lang w:eastAsia="en-US"/>
              </w:rPr>
              <w:t>B: 10,86</w:t>
            </w:r>
            <w:r>
              <w:rPr>
                <w:rFonts w:eastAsia="MS Mincho"/>
                <w:spacing w:val="4"/>
                <w:sz w:val="18"/>
                <w:szCs w:val="18"/>
                <w:lang w:eastAsia="en-US"/>
              </w:rPr>
              <w:t xml:space="preserve"> </w:t>
            </w:r>
            <w:r w:rsidRPr="00407000">
              <w:rPr>
                <w:rFonts w:eastAsia="MS Mincho"/>
                <w:spacing w:val="4"/>
                <w:sz w:val="18"/>
                <w:szCs w:val="18"/>
                <w:lang w:eastAsia="en-US"/>
              </w:rPr>
              <w:t xml:space="preserve">%, </w:t>
            </w:r>
          </w:p>
          <w:p w:rsidR="00F84F32" w:rsidRDefault="00F84F32" w:rsidP="004C3A9B">
            <w:pPr>
              <w:widowControl/>
              <w:ind w:firstLine="0"/>
              <w:jc w:val="center"/>
              <w:rPr>
                <w:rFonts w:eastAsia="MS Mincho"/>
                <w:spacing w:val="4"/>
                <w:sz w:val="18"/>
                <w:szCs w:val="18"/>
                <w:lang w:eastAsia="en-US"/>
              </w:rPr>
            </w:pPr>
            <w:r w:rsidRPr="00407000">
              <w:rPr>
                <w:rFonts w:eastAsia="MS Mincho"/>
                <w:spacing w:val="4"/>
                <w:sz w:val="18"/>
                <w:szCs w:val="18"/>
                <w:lang w:eastAsia="en-US"/>
              </w:rPr>
              <w:t>C: 1,84</w:t>
            </w:r>
            <w:r>
              <w:rPr>
                <w:rFonts w:eastAsia="MS Mincho"/>
                <w:spacing w:val="4"/>
                <w:sz w:val="18"/>
                <w:szCs w:val="18"/>
                <w:lang w:eastAsia="en-US"/>
              </w:rPr>
              <w:t xml:space="preserve"> </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D: 96,10 %</w:t>
            </w:r>
          </w:p>
        </w:tc>
        <w:tc>
          <w:tcPr>
            <w:tcW w:w="1417" w:type="dxa"/>
            <w:tcBorders>
              <w:bottom w:val="single" w:sz="12" w:space="0" w:color="000000"/>
            </w:tcBorders>
            <w:vAlign w:val="center"/>
          </w:tcPr>
          <w:p w:rsidR="00F84F32" w:rsidRDefault="00F84F32" w:rsidP="004C3A9B">
            <w:pPr>
              <w:widowControl/>
              <w:ind w:firstLine="0"/>
              <w:jc w:val="center"/>
              <w:rPr>
                <w:rFonts w:eastAsia="MS Mincho"/>
                <w:spacing w:val="4"/>
                <w:sz w:val="18"/>
                <w:szCs w:val="18"/>
                <w:lang w:eastAsia="en-US"/>
              </w:rPr>
            </w:pPr>
            <w:r w:rsidRPr="00407000">
              <w:rPr>
                <w:rFonts w:eastAsia="MS Mincho"/>
                <w:spacing w:val="4"/>
                <w:sz w:val="18"/>
                <w:szCs w:val="18"/>
                <w:lang w:eastAsia="en-US"/>
              </w:rPr>
              <w:t xml:space="preserve">A: 97,31 %, B: 10,86%, </w:t>
            </w:r>
          </w:p>
          <w:p w:rsidR="00F84F32" w:rsidRDefault="00F84F32" w:rsidP="004C3A9B">
            <w:pPr>
              <w:widowControl/>
              <w:ind w:firstLine="0"/>
              <w:jc w:val="center"/>
              <w:rPr>
                <w:rFonts w:eastAsia="MS Mincho"/>
                <w:spacing w:val="4"/>
                <w:sz w:val="18"/>
                <w:szCs w:val="18"/>
                <w:lang w:eastAsia="en-US"/>
              </w:rPr>
            </w:pPr>
            <w:r w:rsidRPr="00407000">
              <w:rPr>
                <w:rFonts w:eastAsia="MS Mincho"/>
                <w:spacing w:val="4"/>
                <w:sz w:val="18"/>
                <w:szCs w:val="18"/>
                <w:lang w:eastAsia="en-US"/>
              </w:rPr>
              <w:t>C: 1,84</w:t>
            </w:r>
            <w:r>
              <w:rPr>
                <w:rFonts w:eastAsia="MS Mincho"/>
                <w:spacing w:val="4"/>
                <w:sz w:val="18"/>
                <w:szCs w:val="18"/>
                <w:lang w:eastAsia="en-US"/>
              </w:rPr>
              <w:t xml:space="preserve"> </w:t>
            </w:r>
            <w:r w:rsidRPr="00407000">
              <w:rPr>
                <w:rFonts w:eastAsia="MS Mincho"/>
                <w:spacing w:val="4"/>
                <w:sz w:val="18"/>
                <w:szCs w:val="18"/>
                <w:lang w:eastAsia="en-US"/>
              </w:rPr>
              <w:t xml:space="preserve">%, </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D: 96,10 %</w:t>
            </w:r>
          </w:p>
        </w:tc>
        <w:tc>
          <w:tcPr>
            <w:tcW w:w="99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41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Pr>
                <w:rFonts w:eastAsia="MS Mincho"/>
                <w:spacing w:val="4"/>
                <w:sz w:val="18"/>
                <w:szCs w:val="18"/>
                <w:lang w:eastAsia="en-US"/>
              </w:rPr>
              <w:t>n</w:t>
            </w:r>
            <w:r w:rsidRPr="00407000">
              <w:rPr>
                <w:rFonts w:eastAsia="MS Mincho"/>
                <w:spacing w:val="4"/>
                <w:sz w:val="18"/>
                <w:szCs w:val="18"/>
                <w:lang w:eastAsia="en-US"/>
              </w:rPr>
              <w:t>esledováno</w:t>
            </w:r>
          </w:p>
        </w:tc>
        <w:tc>
          <w:tcPr>
            <w:tcW w:w="851" w:type="dxa"/>
            <w:tcBorders>
              <w:bottom w:val="single" w:sz="12" w:space="0" w:color="000000"/>
            </w:tcBorders>
            <w:vAlign w:val="center"/>
          </w:tcPr>
          <w:p w:rsidR="00F84F32" w:rsidRPr="00407000" w:rsidRDefault="00F84F32" w:rsidP="00407000">
            <w:pPr>
              <w:widowControl/>
              <w:ind w:firstLine="0"/>
              <w:jc w:val="center"/>
              <w:rPr>
                <w:rFonts w:eastAsia="MS Mincho"/>
                <w:color w:val="000000"/>
                <w:spacing w:val="4"/>
                <w:sz w:val="16"/>
                <w:szCs w:val="16"/>
                <w:lang w:eastAsia="en-US"/>
              </w:rPr>
            </w:pPr>
          </w:p>
        </w:tc>
      </w:tr>
    </w:tbl>
    <w:p w:rsidR="00F84F32" w:rsidRDefault="00F84F32" w:rsidP="00AD01FB"/>
    <w:p w:rsidR="00F84F32" w:rsidRPr="00407000" w:rsidRDefault="00F84F32" w:rsidP="00407000">
      <w:pPr>
        <w:ind w:firstLine="0"/>
        <w:rPr>
          <w:b/>
        </w:rPr>
      </w:pPr>
      <w:r w:rsidRPr="00407000">
        <w:rPr>
          <w:b/>
        </w:rPr>
        <w:t>Opatření 4.3.1 Uplatňování strategického a projektového řízení</w:t>
      </w:r>
    </w:p>
    <w:p w:rsidR="00F84F32" w:rsidRPr="00407000" w:rsidRDefault="00F84F32" w:rsidP="00407000">
      <w:pPr>
        <w:ind w:firstLine="0"/>
        <w:rPr>
          <w:u w:val="single"/>
        </w:rPr>
      </w:pPr>
      <w:r w:rsidRPr="00407000">
        <w:rPr>
          <w:u w:val="single"/>
        </w:rPr>
        <w:t>Stav opatření:</w:t>
      </w:r>
    </w:p>
    <w:p w:rsidR="00F84F32" w:rsidRDefault="00F84F32" w:rsidP="006C2EFA">
      <w:pPr>
        <w:rPr>
          <w:highlight w:val="green"/>
        </w:rPr>
      </w:pPr>
      <w:r>
        <w:t xml:space="preserve">V roce 2020 byl vytvořen Dlouhodobý investiční plán města (DIP), který obsahuje všechny investiční náměty a projekty statutárního města Olomouce vč. městských organizací v různé fázi přípravy – od ideových záměrů až po realizační fázi. Jedná se o živý materiál, jenž je průběžně aktualizován. Za účelem zefektivnění procesu projektového řízení SMOl byl pro práci s tímto investičním plánem vytvořen zcela nový softwarový nástroj (webová aplikace). Tento informační systém pro správu databáze projektových námětů a projektů umožňuje nejenom mnohem pružnější sběr projektových námětů od věcně příslušných odborů MMOl, městských organizací či městských a odborných komisí, ale také práci s jednotlivými projekty ve všech fázích projektového cyklu. DIP je hlavním východiskem pro sestavování střednědobého investičního plánu, každoročních akčních plánů a přípravu rozpočtu kapitálových výdajů města (investičního rozpočtu) na příslušný kalendářní rok. </w:t>
      </w:r>
    </w:p>
    <w:p w:rsidR="00F84F32" w:rsidRDefault="00F84F32" w:rsidP="00AD01FB">
      <w:r>
        <w:t>V souladu se schváleným „Vnitřním předpisem pro tvorbu tematických koncepčních dokumentů SMOl“ byl aktualizován a následně schválen 5. komunitní plán sociálních služeb Olomoucka na období let 2020–2022, Koncepce rozvoje školství SMOl na období 2021–2025 a Komunikační strategie statutárního města Olomouce. Taktéž byla zahájena příprava popř. započata tvorba dalších městských tematických střednědobých koncepčních dokumentů vycházející z nového VP.</w:t>
      </w:r>
    </w:p>
    <w:p w:rsidR="00F84F32" w:rsidRDefault="00F84F32" w:rsidP="00AD01FB">
      <w:r>
        <w:t>Na konci r. 2020 byl sestaven Akční plán Strategického plánu rozvoje města Olomouce na rok 2021, který vychází z Dlouhodobého investičního plánu města a schváleného rozpočtu SMOl na rok 2021.</w:t>
      </w:r>
    </w:p>
    <w:p w:rsidR="00F84F32" w:rsidRDefault="00F84F32" w:rsidP="00AD01FB"/>
    <w:p w:rsidR="00F84F32" w:rsidRPr="00407000" w:rsidRDefault="00F84F32" w:rsidP="007C33A1">
      <w:pPr>
        <w:ind w:firstLine="0"/>
        <w:rPr>
          <w:b/>
        </w:rPr>
      </w:pPr>
      <w:r w:rsidRPr="00407000">
        <w:rPr>
          <w:b/>
        </w:rPr>
        <w:t>Opatření 4.3.2 Rozvoj managementu kvality</w:t>
      </w:r>
    </w:p>
    <w:p w:rsidR="00F84F32" w:rsidRPr="00407000" w:rsidRDefault="00F84F32" w:rsidP="00407000">
      <w:pPr>
        <w:ind w:firstLine="0"/>
        <w:rPr>
          <w:u w:val="single"/>
        </w:rPr>
      </w:pPr>
      <w:r w:rsidRPr="00407000">
        <w:rPr>
          <w:u w:val="single"/>
        </w:rPr>
        <w:t>Stav opatření:</w:t>
      </w:r>
    </w:p>
    <w:p w:rsidR="00F84F32" w:rsidRDefault="00F84F32" w:rsidP="00AD01FB">
      <w:r w:rsidRPr="002C447E">
        <w:t xml:space="preserve">V rámci zavádění místní Agendy 21 byla městu Olomouc po splnění všech stanovených kritérií a ukazatelů přidělena kategorie D. </w:t>
      </w:r>
      <w:r>
        <w:t>B</w:t>
      </w:r>
      <w:r w:rsidRPr="002C447E">
        <w:t xml:space="preserve">yla </w:t>
      </w:r>
      <w:r>
        <w:t xml:space="preserve">mj. </w:t>
      </w:r>
      <w:r w:rsidRPr="002C447E">
        <w:t xml:space="preserve">vytvořena zvláštní záložka na webu </w:t>
      </w:r>
      <w:r w:rsidRPr="007F3315">
        <w:t>https://menime.olomouc.eu/mistni-agenda-21</w:t>
      </w:r>
      <w:r w:rsidRPr="002C447E">
        <w:t xml:space="preserve">, bylo uspořádáno 9 veřejných projednání či se uskutečnil seminář pro zaměstnance MMOl na téma participace. Během zavádění Modelu excelence EFQM proběhla řada workshopů a seminářů pro vybrané zaměstnance MMOl, byla </w:t>
      </w:r>
      <w:r>
        <w:t>vy</w:t>
      </w:r>
      <w:r w:rsidRPr="002C447E">
        <w:t>tvořena Sebehodnotící zpráva za roky 2019 a 2020</w:t>
      </w:r>
      <w:r>
        <w:t>, která bude v následujícím roce posuzována ve vazbě na vnitřní i externí hodnocení</w:t>
      </w:r>
      <w:r w:rsidRPr="002C447E">
        <w:t xml:space="preserve"> a také byly sesbírány náměty </w:t>
      </w:r>
      <w:r>
        <w:t xml:space="preserve">od zaměstnanců SMOl </w:t>
      </w:r>
      <w:r w:rsidRPr="002C447E">
        <w:t>na zlepšení fungování MMOl a MPO.</w:t>
      </w:r>
    </w:p>
    <w:p w:rsidR="00F84F32" w:rsidRDefault="00F84F32" w:rsidP="0011657D">
      <w:pPr>
        <w:ind w:firstLine="0"/>
      </w:pPr>
    </w:p>
    <w:p w:rsidR="00A70F90" w:rsidRDefault="00A70F90" w:rsidP="0011657D">
      <w:pPr>
        <w:ind w:firstLine="0"/>
      </w:pPr>
    </w:p>
    <w:p w:rsidR="00A70F90" w:rsidRDefault="00A70F90" w:rsidP="0011657D">
      <w:pPr>
        <w:ind w:firstLine="0"/>
      </w:pPr>
    </w:p>
    <w:p w:rsidR="00F84F32" w:rsidRPr="00407000" w:rsidRDefault="00F84F32" w:rsidP="00407000">
      <w:pPr>
        <w:ind w:firstLine="0"/>
        <w:rPr>
          <w:b/>
        </w:rPr>
      </w:pPr>
      <w:r w:rsidRPr="00407000">
        <w:rPr>
          <w:b/>
        </w:rPr>
        <w:lastRenderedPageBreak/>
        <w:t>Opatření 4.3.3 Zvýšení motivačních nástrojů pro zaměstnance</w:t>
      </w:r>
    </w:p>
    <w:p w:rsidR="00F84F32" w:rsidRPr="00407000" w:rsidRDefault="00F84F32" w:rsidP="00407000">
      <w:pPr>
        <w:ind w:firstLine="0"/>
        <w:rPr>
          <w:u w:val="single"/>
        </w:rPr>
      </w:pPr>
      <w:r w:rsidRPr="00407000">
        <w:rPr>
          <w:u w:val="single"/>
        </w:rPr>
        <w:t>Stav opatření:</w:t>
      </w:r>
    </w:p>
    <w:p w:rsidR="00F84F32" w:rsidRPr="002C447E" w:rsidRDefault="00F84F32" w:rsidP="00AD01FB">
      <w:r w:rsidRPr="002C447E">
        <w:t>V roce 2019 byl zaveden systém plánů nástupnictví pro klíčové pozice (vedoucí odborů, oddělení, zaměstnanci pověření organizací práce</w:t>
      </w:r>
      <w:r>
        <w:t xml:space="preserve"> i zaměstnanci specialisté, tj.</w:t>
      </w:r>
      <w:r w:rsidRPr="002C447E">
        <w:t xml:space="preserve"> zaměstnanci na</w:t>
      </w:r>
      <w:r>
        <w:t> </w:t>
      </w:r>
      <w:r w:rsidRPr="002C447E">
        <w:t>klíčových referentských pozicích, např. energetici, stavební technici, vodohospodáři, dopravní specialisté</w:t>
      </w:r>
      <w:r>
        <w:t>,</w:t>
      </w:r>
      <w:r w:rsidRPr="002C447E">
        <w:t xml:space="preserve"> apod.). Plány nástupnictví jsou vedoucí odborů povinni každoročně aktualizovat – viz Pracovní řád MMOl, a to vždy po ukončení </w:t>
      </w:r>
      <w:r>
        <w:t xml:space="preserve">každoročního </w:t>
      </w:r>
      <w:r w:rsidRPr="002C447E">
        <w:t>periodického hodnocení. S vhodnými případnými nástupci musí příslušní vedoucí dále pracovat – viz plány vzdělávání a rozvoje, nutnost doškolování, promítnout do periodického hodnocení, vnímat i v souvislosti s odměňováním, včetně možnosti získávání zkušeností i na jiných úř</w:t>
      </w:r>
      <w:r>
        <w:t>adech (např. i telefonicky či e</w:t>
      </w:r>
      <w:r w:rsidRPr="002C447E">
        <w:t xml:space="preserve">mailem) apod. </w:t>
      </w:r>
    </w:p>
    <w:p w:rsidR="00F84F32" w:rsidRDefault="00F84F32" w:rsidP="00AD01FB"/>
    <w:p w:rsidR="00F84F32" w:rsidRPr="00407000" w:rsidRDefault="00F84F32" w:rsidP="00407000"/>
    <w:p w:rsidR="00F84F32" w:rsidRPr="00407000" w:rsidRDefault="00F84F32" w:rsidP="00407000">
      <w:pPr>
        <w:shd w:val="clear" w:color="auto" w:fill="E5DFEC"/>
        <w:ind w:firstLine="0"/>
        <w:rPr>
          <w:b/>
        </w:rPr>
      </w:pPr>
      <w:r w:rsidRPr="00407000">
        <w:rPr>
          <w:b/>
        </w:rPr>
        <w:t>Cíl 4.4 Řešit problematiku dostupnosti bydlení</w:t>
      </w:r>
    </w:p>
    <w:p w:rsidR="00F84F32" w:rsidRPr="00407000" w:rsidRDefault="00F84F32" w:rsidP="00407000"/>
    <w:tbl>
      <w:tblPr>
        <w:tblW w:w="974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507"/>
        <w:gridCol w:w="1706"/>
        <w:gridCol w:w="1177"/>
        <w:gridCol w:w="1163"/>
        <w:gridCol w:w="1080"/>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50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126"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507" w:type="dxa"/>
            <w:vMerge/>
          </w:tcPr>
          <w:p w:rsidR="00F84F32" w:rsidRPr="00407000" w:rsidRDefault="00F84F32" w:rsidP="00407000">
            <w:pPr>
              <w:widowControl/>
              <w:ind w:firstLine="0"/>
              <w:jc w:val="center"/>
              <w:rPr>
                <w:rFonts w:eastAsia="MS Mincho"/>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16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A33795">
        <w:trPr>
          <w:trHeight w:val="416"/>
        </w:trPr>
        <w:tc>
          <w:tcPr>
            <w:tcW w:w="560" w:type="dxa"/>
            <w:vMerge w:val="restart"/>
            <w:vAlign w:val="center"/>
          </w:tcPr>
          <w:p w:rsidR="00F84F32" w:rsidRPr="00407000" w:rsidRDefault="00F84F32" w:rsidP="00407000">
            <w:pPr>
              <w:ind w:firstLine="0"/>
              <w:jc w:val="center"/>
              <w:rPr>
                <w:color w:val="000000"/>
                <w:sz w:val="18"/>
                <w:szCs w:val="18"/>
              </w:rPr>
            </w:pPr>
            <w:r w:rsidRPr="00407000">
              <w:rPr>
                <w:color w:val="000000"/>
                <w:sz w:val="18"/>
                <w:szCs w:val="18"/>
              </w:rPr>
              <w:t>4.4</w:t>
            </w:r>
          </w:p>
        </w:tc>
        <w:tc>
          <w:tcPr>
            <w:tcW w:w="627" w:type="dxa"/>
            <w:vAlign w:val="center"/>
          </w:tcPr>
          <w:p w:rsidR="00F84F32" w:rsidRPr="00407000" w:rsidRDefault="00F84F32" w:rsidP="00407000">
            <w:pPr>
              <w:ind w:firstLine="27"/>
              <w:jc w:val="center"/>
              <w:rPr>
                <w:color w:val="000000"/>
                <w:sz w:val="18"/>
                <w:szCs w:val="18"/>
              </w:rPr>
            </w:pPr>
            <w:r w:rsidRPr="00407000">
              <w:rPr>
                <w:color w:val="000000"/>
                <w:sz w:val="18"/>
                <w:szCs w:val="18"/>
              </w:rPr>
              <w:t>47.</w:t>
            </w:r>
          </w:p>
        </w:tc>
        <w:tc>
          <w:tcPr>
            <w:tcW w:w="2507" w:type="dxa"/>
            <w:vAlign w:val="center"/>
          </w:tcPr>
          <w:p w:rsidR="00F84F32" w:rsidRPr="00407000" w:rsidRDefault="00F84F32" w:rsidP="00407000">
            <w:pPr>
              <w:ind w:firstLine="0"/>
              <w:jc w:val="left"/>
              <w:rPr>
                <w:sz w:val="18"/>
                <w:szCs w:val="18"/>
              </w:rPr>
            </w:pPr>
            <w:r w:rsidRPr="00407000">
              <w:rPr>
                <w:sz w:val="18"/>
                <w:szCs w:val="18"/>
              </w:rPr>
              <w:t>Přírůstek bytových jednotek do fondu dostupného bydlení (počet, kumulovaný)</w:t>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661</w:t>
            </w:r>
          </w:p>
        </w:tc>
        <w:tc>
          <w:tcPr>
            <w:tcW w:w="1177"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741</w:t>
            </w:r>
          </w:p>
        </w:tc>
        <w:tc>
          <w:tcPr>
            <w:tcW w:w="1163"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661</w:t>
            </w:r>
          </w:p>
        </w:tc>
        <w:tc>
          <w:tcPr>
            <w:tcW w:w="928" w:type="dxa"/>
            <w:shd w:val="clear" w:color="auto" w:fill="FFC0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B"/>
            </w:r>
          </w:p>
        </w:tc>
      </w:tr>
      <w:tr w:rsidR="00F84F32" w:rsidRPr="00407000" w:rsidTr="00B96A10">
        <w:trPr>
          <w:trHeight w:val="416"/>
        </w:trPr>
        <w:tc>
          <w:tcPr>
            <w:tcW w:w="560" w:type="dxa"/>
            <w:vMerge/>
            <w:tcBorders>
              <w:bottom w:val="single" w:sz="12" w:space="0" w:color="000000"/>
            </w:tcBorders>
            <w:vAlign w:val="center"/>
          </w:tcPr>
          <w:p w:rsidR="00F84F32" w:rsidRPr="00407000" w:rsidRDefault="00F84F32" w:rsidP="00407000">
            <w:pPr>
              <w:ind w:firstLine="0"/>
              <w:jc w:val="center"/>
              <w:rPr>
                <w:color w:val="000000"/>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color w:val="000000"/>
                <w:sz w:val="18"/>
                <w:szCs w:val="18"/>
              </w:rPr>
            </w:pPr>
            <w:r w:rsidRPr="00407000">
              <w:rPr>
                <w:color w:val="000000"/>
                <w:sz w:val="18"/>
                <w:szCs w:val="18"/>
              </w:rPr>
              <w:t>48.</w:t>
            </w:r>
          </w:p>
        </w:tc>
        <w:tc>
          <w:tcPr>
            <w:tcW w:w="2507" w:type="dxa"/>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Počet uzavřených nájemních smluv na byty v režimu dostupného bydlení (počet, kumulovaný)</w:t>
            </w:r>
          </w:p>
        </w:tc>
        <w:tc>
          <w:tcPr>
            <w:tcW w:w="1706"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0</w:t>
            </w:r>
          </w:p>
        </w:tc>
        <w:tc>
          <w:tcPr>
            <w:tcW w:w="1177"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100</w:t>
            </w:r>
          </w:p>
        </w:tc>
        <w:tc>
          <w:tcPr>
            <w:tcW w:w="1163"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080" w:type="dxa"/>
            <w:tcBorders>
              <w:bottom w:val="single" w:sz="12" w:space="0" w:color="000000"/>
            </w:tcBorders>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w:t>
            </w:r>
            <w:r>
              <w:rPr>
                <w:rFonts w:eastAsia="MS Mincho"/>
                <w:spacing w:val="4"/>
                <w:sz w:val="18"/>
                <w:szCs w:val="18"/>
                <w:lang w:eastAsia="en-US"/>
              </w:rPr>
              <w:t>59</w:t>
            </w:r>
          </w:p>
        </w:tc>
        <w:tc>
          <w:tcPr>
            <w:tcW w:w="928" w:type="dxa"/>
            <w:tcBorders>
              <w:bottom w:val="single" w:sz="12" w:space="0" w:color="000000"/>
            </w:tcBorders>
            <w:shd w:val="clear" w:color="auto" w:fill="99CC00"/>
            <w:vAlign w:val="center"/>
          </w:tcPr>
          <w:p w:rsidR="00F84F32" w:rsidRPr="00407000" w:rsidRDefault="00F84F32" w:rsidP="00407000">
            <w:pPr>
              <w:widowControl/>
              <w:ind w:firstLine="0"/>
              <w:jc w:val="center"/>
              <w:rPr>
                <w:rFonts w:eastAsia="MS Mincho"/>
                <w:color w:val="000000"/>
                <w:spacing w:val="4"/>
                <w:sz w:val="16"/>
                <w:szCs w:val="16"/>
                <w:lang w:eastAsia="en-US"/>
              </w:rPr>
            </w:pPr>
            <w:r w:rsidRPr="00407000">
              <w:rPr>
                <w:sz w:val="32"/>
                <w:szCs w:val="32"/>
              </w:rPr>
              <w:sym w:font="Wingdings" w:char="F04A"/>
            </w:r>
          </w:p>
        </w:tc>
      </w:tr>
    </w:tbl>
    <w:p w:rsidR="00F84F32" w:rsidRPr="00407000" w:rsidRDefault="00F84F32" w:rsidP="00AD01FB"/>
    <w:p w:rsidR="00F84F32" w:rsidRPr="00407000" w:rsidRDefault="00F84F32" w:rsidP="00407000">
      <w:pPr>
        <w:ind w:firstLine="0"/>
        <w:rPr>
          <w:b/>
        </w:rPr>
      </w:pPr>
      <w:r w:rsidRPr="00407000">
        <w:rPr>
          <w:b/>
        </w:rPr>
        <w:t>Opatření 4.4.1 Rozšíření bytového fondu určeného pro účely dostupného bydlení</w:t>
      </w:r>
    </w:p>
    <w:p w:rsidR="00F84F32" w:rsidRPr="00407000" w:rsidRDefault="00F84F32" w:rsidP="00407000">
      <w:pPr>
        <w:ind w:firstLine="0"/>
        <w:rPr>
          <w:u w:val="single"/>
        </w:rPr>
      </w:pPr>
      <w:r w:rsidRPr="00407000">
        <w:rPr>
          <w:u w:val="single"/>
        </w:rPr>
        <w:t>Stav opatření:</w:t>
      </w:r>
    </w:p>
    <w:p w:rsidR="00F84F32" w:rsidRPr="0057737A" w:rsidRDefault="00F84F32" w:rsidP="00AD01FB">
      <w:r w:rsidRPr="0057737A">
        <w:t>V roce 2020 byla zpracována návrhová část Koncepce</w:t>
      </w:r>
      <w:r>
        <w:t xml:space="preserve"> dostupného a sociálního bydlení</w:t>
      </w:r>
      <w:r w:rsidRPr="0057737A">
        <w:t>. Vzhledem k významně změněné situaci rodin a jednotlivců ohrožených sníženou dostupností bydlení a k potřebě hledat inovativní nástroje k řešení jejich situace bylo dopracování Koncepce svěřeno externí firmě, finální podoba Koncepce bude předložena ke schválení v roce 2021.</w:t>
      </w:r>
      <w:r>
        <w:t xml:space="preserve"> </w:t>
      </w:r>
      <w:r w:rsidRPr="0057737A">
        <w:t>RMO schválila výběr lokalit, které jsou rezervovány pro projekty bytové výstavby dostupného bydlení, pro některé z těchto lokalit se v roce 2021 začnou zpracovávat investiční záměry</w:t>
      </w:r>
      <w:r>
        <w:t>.</w:t>
      </w:r>
    </w:p>
    <w:p w:rsidR="00F84F32" w:rsidRDefault="00F84F32" w:rsidP="00AD01FB"/>
    <w:p w:rsidR="00F84F32" w:rsidRPr="00407000" w:rsidRDefault="00F84F32" w:rsidP="00407000">
      <w:pPr>
        <w:ind w:firstLine="0"/>
        <w:rPr>
          <w:b/>
        </w:rPr>
      </w:pPr>
      <w:r w:rsidRPr="00407000">
        <w:rPr>
          <w:b/>
        </w:rPr>
        <w:t>Opatření 4.4.2 Nastavení pravidel přidělování bytů v systému dostupného bydlení</w:t>
      </w:r>
    </w:p>
    <w:p w:rsidR="00F84F32" w:rsidRPr="00407000" w:rsidRDefault="00F84F32" w:rsidP="00407000">
      <w:pPr>
        <w:ind w:firstLine="0"/>
        <w:rPr>
          <w:u w:val="single"/>
        </w:rPr>
      </w:pPr>
      <w:r w:rsidRPr="00407000">
        <w:rPr>
          <w:u w:val="single"/>
        </w:rPr>
        <w:t>Stav opatření:</w:t>
      </w:r>
    </w:p>
    <w:p w:rsidR="00F84F32" w:rsidRDefault="00F84F32" w:rsidP="00AD01FB">
      <w:r w:rsidRPr="008C257A">
        <w:t>V roce 2020 proběhla revize pravidel bytů zvláštního určení pro seniory a pro osoby se</w:t>
      </w:r>
      <w:r>
        <w:t> </w:t>
      </w:r>
      <w:r w:rsidRPr="008C257A">
        <w:t>zdravotním postižením.</w:t>
      </w:r>
      <w:r>
        <w:t xml:space="preserve"> </w:t>
      </w:r>
    </w:p>
    <w:p w:rsidR="00F84F32" w:rsidRDefault="00F84F32" w:rsidP="00226B58">
      <w:pPr>
        <w:ind w:firstLine="0"/>
      </w:pPr>
    </w:p>
    <w:p w:rsidR="00F84F32" w:rsidRDefault="00F84F32" w:rsidP="00226B58">
      <w:pPr>
        <w:ind w:firstLine="0"/>
      </w:pPr>
    </w:p>
    <w:p w:rsidR="00F84F32" w:rsidRPr="00407000" w:rsidRDefault="00F84F32" w:rsidP="00407000">
      <w:pPr>
        <w:shd w:val="clear" w:color="auto" w:fill="E5DFEC"/>
        <w:ind w:firstLine="0"/>
        <w:rPr>
          <w:b/>
        </w:rPr>
      </w:pPr>
      <w:r w:rsidRPr="00407000">
        <w:rPr>
          <w:b/>
        </w:rPr>
        <w:t>Cíl 4.5 Zajistit efektivní koordinaci sociálních a souvisejících služeb, podporovat prorodinná opatření</w:t>
      </w:r>
    </w:p>
    <w:p w:rsidR="00F84F32" w:rsidRPr="00407000" w:rsidRDefault="00F84F32" w:rsidP="00407000"/>
    <w:tbl>
      <w:tblPr>
        <w:tblW w:w="956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413"/>
        <w:gridCol w:w="1620"/>
        <w:gridCol w:w="1177"/>
        <w:gridCol w:w="1163"/>
        <w:gridCol w:w="1080"/>
        <w:gridCol w:w="928"/>
      </w:tblGrid>
      <w:tr w:rsidR="00F84F32" w:rsidRPr="00407000" w:rsidTr="00B96A10">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41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040"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928"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B96A10">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413" w:type="dxa"/>
            <w:vMerge/>
          </w:tcPr>
          <w:p w:rsidR="00F84F32" w:rsidRPr="00407000" w:rsidRDefault="00F84F32" w:rsidP="00407000">
            <w:pPr>
              <w:widowControl/>
              <w:ind w:firstLine="0"/>
              <w:jc w:val="center"/>
              <w:rPr>
                <w:rFonts w:eastAsia="MS Mincho"/>
                <w:spacing w:val="4"/>
                <w:sz w:val="18"/>
                <w:szCs w:val="18"/>
                <w:lang w:eastAsia="en-US"/>
              </w:rPr>
            </w:pPr>
          </w:p>
        </w:tc>
        <w:tc>
          <w:tcPr>
            <w:tcW w:w="162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177"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163"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080"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928"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B96A10">
        <w:trPr>
          <w:trHeight w:val="416"/>
        </w:trPr>
        <w:tc>
          <w:tcPr>
            <w:tcW w:w="560" w:type="dxa"/>
            <w:tcBorders>
              <w:bottom w:val="single" w:sz="12" w:space="0" w:color="000000"/>
            </w:tcBorders>
            <w:vAlign w:val="center"/>
          </w:tcPr>
          <w:p w:rsidR="00F84F32" w:rsidRPr="00407000" w:rsidRDefault="00F84F32" w:rsidP="00407000">
            <w:pPr>
              <w:ind w:firstLine="0"/>
              <w:jc w:val="center"/>
              <w:rPr>
                <w:sz w:val="18"/>
                <w:szCs w:val="18"/>
              </w:rPr>
            </w:pPr>
            <w:r w:rsidRPr="00407000">
              <w:rPr>
                <w:sz w:val="18"/>
                <w:szCs w:val="18"/>
              </w:rPr>
              <w:t>4.5</w:t>
            </w:r>
          </w:p>
        </w:tc>
        <w:tc>
          <w:tcPr>
            <w:tcW w:w="627" w:type="dxa"/>
            <w:tcBorders>
              <w:bottom w:val="single" w:sz="12" w:space="0" w:color="000000"/>
            </w:tcBorders>
            <w:vAlign w:val="center"/>
          </w:tcPr>
          <w:p w:rsidR="00F84F32" w:rsidRPr="00407000" w:rsidRDefault="00F84F32" w:rsidP="00407000">
            <w:pPr>
              <w:ind w:firstLine="27"/>
              <w:jc w:val="center"/>
              <w:rPr>
                <w:sz w:val="18"/>
                <w:szCs w:val="18"/>
              </w:rPr>
            </w:pPr>
            <w:r w:rsidRPr="00407000">
              <w:rPr>
                <w:sz w:val="18"/>
                <w:szCs w:val="18"/>
              </w:rPr>
              <w:t>-</w:t>
            </w:r>
          </w:p>
        </w:tc>
        <w:tc>
          <w:tcPr>
            <w:tcW w:w="8381" w:type="dxa"/>
            <w:gridSpan w:val="6"/>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Indikátory budou stanoveny a vyhodnocovány prostřednictvím Komunitního plánu sociálních služeb Olomoucka a Koncepce rozvoje rodinné politiky statutárního města Olomouce.</w:t>
            </w:r>
          </w:p>
        </w:tc>
      </w:tr>
    </w:tbl>
    <w:p w:rsidR="00F84F32" w:rsidRPr="00407000" w:rsidRDefault="00F84F32" w:rsidP="00407000">
      <w:pPr>
        <w:ind w:firstLine="0"/>
        <w:rPr>
          <w:b/>
        </w:rPr>
      </w:pPr>
      <w:r w:rsidRPr="00407000">
        <w:rPr>
          <w:b/>
        </w:rPr>
        <w:lastRenderedPageBreak/>
        <w:t xml:space="preserve">Opatření 4.5.1 Koordinace poskytování sociálních a souvisejících služeb na území ORP Olomouc </w:t>
      </w:r>
    </w:p>
    <w:p w:rsidR="00F84F32" w:rsidRPr="00407000" w:rsidRDefault="00F84F32" w:rsidP="00407000">
      <w:pPr>
        <w:ind w:firstLine="0"/>
        <w:rPr>
          <w:u w:val="single"/>
        </w:rPr>
      </w:pPr>
      <w:r w:rsidRPr="00407000">
        <w:rPr>
          <w:u w:val="single"/>
        </w:rPr>
        <w:t>Stav opatření:</w:t>
      </w:r>
    </w:p>
    <w:p w:rsidR="00F84F32" w:rsidRPr="008C257A" w:rsidRDefault="00F84F32" w:rsidP="00AD01FB">
      <w:r w:rsidRPr="008C257A">
        <w:t>Na naplňování opatření Komunitního plánu v ro</w:t>
      </w:r>
      <w:r>
        <w:t>ce 2020 měla vliv pandemie Covid</w:t>
      </w:r>
      <w:r w:rsidRPr="008C257A">
        <w:t xml:space="preserve">-19, nicméně ani tak nedošlo </w:t>
      </w:r>
      <w:r>
        <w:t xml:space="preserve">k </w:t>
      </w:r>
      <w:r w:rsidRPr="008C257A">
        <w:t xml:space="preserve">takovým problémům, které by měly zásadní negativní vliv na jeho naplňování a na dostupnost klíčových sociálních služeb. Některé služby byly naopak díky této situaci pro své klienty ještě důležitější. Zejména na jaře 2020 v rámci pandemie došlo k zintenzivnění komunikace mezi odborem sociálních věcí MMOl a poskytovateli sociálních a souvisejících služeb. </w:t>
      </w:r>
    </w:p>
    <w:p w:rsidR="00F84F32" w:rsidRPr="008C257A" w:rsidRDefault="00F84F32" w:rsidP="00AD01FB">
      <w:pPr>
        <w:rPr>
          <w:u w:val="single"/>
        </w:rPr>
      </w:pPr>
      <w:r w:rsidRPr="008C257A">
        <w:t>Z důvodu pandemie a s tím souvisejícími vyhlášenými mimořádnými opatřeními nedocházelo k pravidelnému jednání organizační struktury KPSS. Realizačně manažerský tým KPSS se v roce 2020 sešel 3x a pouze ve 3 pracovních skupinách proběhl</w:t>
      </w:r>
      <w:r>
        <w:t>o</w:t>
      </w:r>
      <w:r w:rsidRPr="008C257A">
        <w:t xml:space="preserve"> aspoň jedno jednání. Také v roce 2020 bylo v pracovních skupinách zapojeno celkem více než 100 členů, jedná se zejména o poskytovatele sociálních a souvisejících služeb a uživatele sociálních služeb. Celkem 5 </w:t>
      </w:r>
      <w:r>
        <w:t>zaměstnanců OSV je zapojeno</w:t>
      </w:r>
      <w:r w:rsidRPr="008C257A">
        <w:t xml:space="preserve"> do procesu komunitního plánování Olomouckého kraje, pod které spadá ORP Olomouc.</w:t>
      </w:r>
    </w:p>
    <w:p w:rsidR="00F84F32" w:rsidRPr="00407000" w:rsidRDefault="00F84F32" w:rsidP="00AD01FB"/>
    <w:p w:rsidR="00F84F32" w:rsidRPr="00407000" w:rsidRDefault="00F84F32" w:rsidP="00407000">
      <w:pPr>
        <w:ind w:firstLine="0"/>
        <w:rPr>
          <w:b/>
        </w:rPr>
      </w:pPr>
      <w:r w:rsidRPr="00407000">
        <w:rPr>
          <w:b/>
        </w:rPr>
        <w:t xml:space="preserve">Opatření 4.5.2 Aktualizace sítě sociálních služeb ORP Olomouc </w:t>
      </w:r>
    </w:p>
    <w:p w:rsidR="00F84F32" w:rsidRPr="00407000" w:rsidRDefault="00F84F32" w:rsidP="00407000">
      <w:pPr>
        <w:ind w:firstLine="0"/>
        <w:rPr>
          <w:u w:val="single"/>
        </w:rPr>
      </w:pPr>
      <w:r w:rsidRPr="00407000">
        <w:rPr>
          <w:u w:val="single"/>
        </w:rPr>
        <w:t>Stav opatření:</w:t>
      </w:r>
    </w:p>
    <w:p w:rsidR="00F84F32" w:rsidRPr="0000621E" w:rsidRDefault="00F84F32" w:rsidP="00AD01FB">
      <w:r w:rsidRPr="0000621E">
        <w:t>V návaznosti na síť sociálních služeb Olomouckého kraje každoročně probíhá aktualizace sítě sociálních služeb ORP Olomouc, a to na základě projednání se Zastupitelstvem Olomouckého kraje. Síť sociálních služeb na území ORP Olomouc s větší části koresponduje s platným 5. komunitním plánem sociálních služ</w:t>
      </w:r>
      <w:r>
        <w:t>eb Olomoucka na období let 2020</w:t>
      </w:r>
      <w:r w:rsidRPr="002C447E">
        <w:t>–</w:t>
      </w:r>
      <w:r w:rsidRPr="0000621E">
        <w:t xml:space="preserve">2022, který je aktualizován dodatky schválenými RMO. V roce 2020 nadále probíhala spolupráce s neziskovými organizacemi, které poskytují služby v sociální oblasti, zejména pak na jaře 2020 v rámci pandemie byla tato spolupráce ještě intenzivnější. V roce 2020 byla mezi organizace poskytující sociální a související služby v rámci dotací odboru sociálních věcí MMOl rozdělena částka </w:t>
      </w:r>
      <w:r w:rsidRPr="0000621E">
        <w:rPr>
          <w:sz w:val="22"/>
          <w:szCs w:val="22"/>
        </w:rPr>
        <w:t>16</w:t>
      </w:r>
      <w:r>
        <w:rPr>
          <w:sz w:val="22"/>
          <w:szCs w:val="22"/>
        </w:rPr>
        <w:t>,</w:t>
      </w:r>
      <w:r w:rsidRPr="0000621E">
        <w:rPr>
          <w:sz w:val="22"/>
          <w:szCs w:val="22"/>
        </w:rPr>
        <w:t>6</w:t>
      </w:r>
      <w:r>
        <w:rPr>
          <w:sz w:val="22"/>
          <w:szCs w:val="22"/>
        </w:rPr>
        <w:t>7</w:t>
      </w:r>
      <w:r w:rsidRPr="0000621E">
        <w:t xml:space="preserve"> </w:t>
      </w:r>
      <w:r>
        <w:t xml:space="preserve">mil. </w:t>
      </w:r>
      <w:r w:rsidRPr="0000621E">
        <w:t xml:space="preserve">Kč. </w:t>
      </w:r>
      <w:r>
        <w:t xml:space="preserve"> </w:t>
      </w:r>
    </w:p>
    <w:p w:rsidR="00F84F32" w:rsidRPr="00407000" w:rsidRDefault="00F84F32" w:rsidP="00AD01FB"/>
    <w:p w:rsidR="00F84F32" w:rsidRPr="00407000" w:rsidRDefault="00F84F32" w:rsidP="00407000">
      <w:pPr>
        <w:ind w:firstLine="0"/>
      </w:pPr>
      <w:r w:rsidRPr="00407000">
        <w:rPr>
          <w:b/>
        </w:rPr>
        <w:t xml:space="preserve">Opatření 4.5.3 Tvorba a realizace (nových) prorodinných opatření a aktivit na podporu rodiny </w:t>
      </w:r>
    </w:p>
    <w:p w:rsidR="00F84F32" w:rsidRPr="00407000" w:rsidRDefault="00F84F32" w:rsidP="00407000">
      <w:pPr>
        <w:ind w:firstLine="0"/>
        <w:rPr>
          <w:u w:val="single"/>
        </w:rPr>
      </w:pPr>
      <w:r w:rsidRPr="00407000">
        <w:rPr>
          <w:u w:val="single"/>
        </w:rPr>
        <w:t>Stav opatření:</w:t>
      </w:r>
    </w:p>
    <w:p w:rsidR="00F84F32" w:rsidRPr="00244B99" w:rsidRDefault="00F84F32" w:rsidP="00AD01FB">
      <w:r w:rsidRPr="00244B99">
        <w:t>Na realizaci některých aktivit rodinné politiky SMOl v roce 2020 měla vliv pandemie C</w:t>
      </w:r>
      <w:r>
        <w:t>ovid</w:t>
      </w:r>
      <w:r w:rsidRPr="00244B99">
        <w:t>-19. Některé aktivity se tak v roce 2020 nezrealizovaly vůbec nebo jen v omezené míře. Nejvíce postiženy byly různé akce pro rodiny s dětmi, seniory, vzdělávací akce apod.</w:t>
      </w:r>
    </w:p>
    <w:p w:rsidR="00F84F32" w:rsidRDefault="00F84F32" w:rsidP="00822FE4">
      <w:pPr>
        <w:rPr>
          <w:shd w:val="clear" w:color="auto" w:fill="FFFFFF"/>
        </w:rPr>
      </w:pPr>
      <w:r w:rsidRPr="00A2077D">
        <w:t>V rámci Týdne pro rodinu (9</w:t>
      </w:r>
      <w:r>
        <w:t>.</w:t>
      </w:r>
      <w:r w:rsidRPr="00A2077D">
        <w:t>–17. 5. 2020) měla proběhnout společná akce statu</w:t>
      </w:r>
      <w:r>
        <w:t>t</w:t>
      </w:r>
      <w:r w:rsidRPr="00A2077D">
        <w:t xml:space="preserve">árního města Olomouc a Olomouckého kraje - Den pro rodinu vlastní i náhradní. Z důvodu pandemie Covid-19 byla tato akce přesunuta na </w:t>
      </w:r>
      <w:r>
        <w:t>podzim</w:t>
      </w:r>
      <w:r w:rsidRPr="00A2077D">
        <w:t xml:space="preserve"> 2020.</w:t>
      </w:r>
      <w:r w:rsidRPr="00244B99">
        <w:t xml:space="preserve"> Akce probíhala v olomouckých Smetanových sadech. K akci byl připojen Den pro pěstounství, </w:t>
      </w:r>
      <w:r w:rsidRPr="00244B99">
        <w:rPr>
          <w:shd w:val="clear" w:color="auto" w:fill="FFFFFF"/>
        </w:rPr>
        <w:t>jehož smyslem je ocenit pěstouny za jejich činnost, vzdělávání pěstounských rodin a informování veřejnosti o smyslu pěstounské péče.</w:t>
      </w:r>
      <w:r w:rsidRPr="00244B99">
        <w:t xml:space="preserve"> </w:t>
      </w:r>
      <w:r w:rsidRPr="00244B99">
        <w:rPr>
          <w:shd w:val="clear" w:color="auto" w:fill="FFFFFF"/>
        </w:rPr>
        <w:t xml:space="preserve">Součástí programu byl také charitativní Běh pro Paměť národa, jehož organizátorem je </w:t>
      </w:r>
      <w:r>
        <w:rPr>
          <w:shd w:val="clear" w:color="auto" w:fill="FFFFFF"/>
        </w:rPr>
        <w:t>organizace Post Bellum, o.p.s. </w:t>
      </w:r>
      <w:r w:rsidRPr="00244B99">
        <w:rPr>
          <w:shd w:val="clear" w:color="auto" w:fill="FFFFFF"/>
        </w:rPr>
        <w:t>Startovné zúčastněných běžců bude využito na rozšíření sbírky Paměť národa, která zachycuje životní příběhy pamětníků 20. století pro</w:t>
      </w:r>
      <w:r>
        <w:rPr>
          <w:shd w:val="clear" w:color="auto" w:fill="FFFFFF"/>
        </w:rPr>
        <w:t> </w:t>
      </w:r>
      <w:r w:rsidRPr="00244B99">
        <w:rPr>
          <w:shd w:val="clear" w:color="auto" w:fill="FFFFFF"/>
        </w:rPr>
        <w:t>další generace</w:t>
      </w:r>
      <w:r w:rsidRPr="00244B99">
        <w:t>.</w:t>
      </w:r>
      <w:r>
        <w:rPr>
          <w:shd w:val="clear" w:color="auto" w:fill="FFFFFF"/>
        </w:rPr>
        <w:t xml:space="preserve"> </w:t>
      </w:r>
      <w:r w:rsidRPr="00244B99">
        <w:rPr>
          <w:shd w:val="clear" w:color="auto" w:fill="FFFFFF"/>
        </w:rPr>
        <w:t xml:space="preserve">Více takovýchto větších akcí se zrealizovat nepodařilo, velká část akcí se přesunula do on-line prostoru. </w:t>
      </w:r>
      <w:r>
        <w:rPr>
          <w:shd w:val="clear" w:color="auto" w:fill="FFFFFF"/>
        </w:rPr>
        <w:t>V</w:t>
      </w:r>
      <w:r w:rsidRPr="00244B99">
        <w:rPr>
          <w:shd w:val="clear" w:color="auto" w:fill="FFFFFF"/>
        </w:rPr>
        <w:t>zdělávací akce v rámci klubů pro seniory, stejně tak poznávací a kulturní akce pro seniory proběhly v mnohem menším počtu, než se původně plánovalo.</w:t>
      </w:r>
    </w:p>
    <w:p w:rsidR="00F84F32" w:rsidRPr="00407000" w:rsidRDefault="00F84F32" w:rsidP="00407000">
      <w:pPr>
        <w:shd w:val="clear" w:color="auto" w:fill="E5DFEC"/>
        <w:ind w:firstLine="0"/>
        <w:rPr>
          <w:b/>
        </w:rPr>
      </w:pPr>
      <w:r w:rsidRPr="00407000">
        <w:rPr>
          <w:b/>
        </w:rPr>
        <w:lastRenderedPageBreak/>
        <w:t>Cíl 4.6 Řešit výskyt patologických sociálních jevů a posílit bezpečí občanů zejména podporou preventivních opatření</w:t>
      </w:r>
    </w:p>
    <w:p w:rsidR="00F84F32" w:rsidRPr="00407000" w:rsidRDefault="00F84F32" w:rsidP="00407000"/>
    <w:tbl>
      <w:tblPr>
        <w:tblW w:w="946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0"/>
        <w:gridCol w:w="627"/>
        <w:gridCol w:w="2053"/>
        <w:gridCol w:w="1706"/>
        <w:gridCol w:w="1534"/>
        <w:gridCol w:w="1055"/>
        <w:gridCol w:w="1188"/>
        <w:gridCol w:w="745"/>
      </w:tblGrid>
      <w:tr w:rsidR="00F84F32" w:rsidRPr="00407000" w:rsidTr="00636531">
        <w:trPr>
          <w:tblHeader/>
        </w:trPr>
        <w:tc>
          <w:tcPr>
            <w:tcW w:w="560"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w:t>
            </w:r>
          </w:p>
        </w:tc>
        <w:tc>
          <w:tcPr>
            <w:tcW w:w="627"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Číslo MI</w:t>
            </w:r>
          </w:p>
        </w:tc>
        <w:tc>
          <w:tcPr>
            <w:tcW w:w="2053"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Indikátor</w:t>
            </w:r>
          </w:p>
        </w:tc>
        <w:tc>
          <w:tcPr>
            <w:tcW w:w="5483" w:type="dxa"/>
            <w:gridSpan w:val="4"/>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Hodnota</w:t>
            </w:r>
          </w:p>
        </w:tc>
        <w:tc>
          <w:tcPr>
            <w:tcW w:w="745" w:type="dxa"/>
            <w:vMerge w:val="restart"/>
            <w:tcBorders>
              <w:top w:val="single" w:sz="12" w:space="0" w:color="000000"/>
            </w:tcBorders>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Trend plnění</w:t>
            </w:r>
          </w:p>
        </w:tc>
      </w:tr>
      <w:tr w:rsidR="00F84F32" w:rsidRPr="00407000" w:rsidTr="00636531">
        <w:trPr>
          <w:tblHeader/>
        </w:trPr>
        <w:tc>
          <w:tcPr>
            <w:tcW w:w="560"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627" w:type="dxa"/>
            <w:vMerge/>
            <w:vAlign w:val="center"/>
          </w:tcPr>
          <w:p w:rsidR="00F84F32" w:rsidRPr="00407000" w:rsidRDefault="00F84F32" w:rsidP="00407000">
            <w:pPr>
              <w:widowControl/>
              <w:ind w:firstLine="0"/>
              <w:jc w:val="center"/>
              <w:rPr>
                <w:rFonts w:eastAsia="MS Mincho"/>
                <w:spacing w:val="4"/>
                <w:sz w:val="18"/>
                <w:szCs w:val="18"/>
                <w:lang w:eastAsia="en-US"/>
              </w:rPr>
            </w:pPr>
          </w:p>
        </w:tc>
        <w:tc>
          <w:tcPr>
            <w:tcW w:w="2053" w:type="dxa"/>
            <w:vMerge/>
          </w:tcPr>
          <w:p w:rsidR="00F84F32" w:rsidRPr="00407000" w:rsidRDefault="00F84F32" w:rsidP="00407000">
            <w:pPr>
              <w:widowControl/>
              <w:ind w:firstLine="0"/>
              <w:jc w:val="center"/>
              <w:rPr>
                <w:rFonts w:eastAsia="MS Mincho"/>
                <w:spacing w:val="4"/>
                <w:sz w:val="18"/>
                <w:szCs w:val="18"/>
                <w:lang w:eastAsia="en-US"/>
              </w:rPr>
            </w:pPr>
          </w:p>
        </w:tc>
        <w:tc>
          <w:tcPr>
            <w:tcW w:w="1706"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výchozí stav (2016</w:t>
            </w:r>
            <w:r w:rsidRPr="00407000">
              <w:t>–</w:t>
            </w:r>
            <w:r>
              <w:rPr>
                <w:rFonts w:eastAsia="MS Mincho"/>
                <w:b/>
                <w:spacing w:val="4"/>
                <w:sz w:val="18"/>
                <w:szCs w:val="18"/>
                <w:lang w:eastAsia="en-US"/>
              </w:rPr>
              <w:t>2019</w:t>
            </w:r>
            <w:r w:rsidRPr="00407000">
              <w:rPr>
                <w:rFonts w:eastAsia="MS Mincho"/>
                <w:b/>
                <w:spacing w:val="4"/>
                <w:sz w:val="18"/>
                <w:szCs w:val="18"/>
                <w:lang w:eastAsia="en-US"/>
              </w:rPr>
              <w:t>)</w:t>
            </w:r>
          </w:p>
        </w:tc>
        <w:tc>
          <w:tcPr>
            <w:tcW w:w="1534"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cílový stav (2023)</w:t>
            </w:r>
          </w:p>
        </w:tc>
        <w:tc>
          <w:tcPr>
            <w:tcW w:w="1055"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sidRPr="00407000">
              <w:rPr>
                <w:rFonts w:eastAsia="MS Mincho"/>
                <w:b/>
                <w:spacing w:val="4"/>
                <w:sz w:val="18"/>
                <w:szCs w:val="18"/>
                <w:lang w:eastAsia="en-US"/>
              </w:rPr>
              <w:t>optimální směr</w:t>
            </w:r>
          </w:p>
        </w:tc>
        <w:tc>
          <w:tcPr>
            <w:tcW w:w="1188" w:type="dxa"/>
            <w:shd w:val="clear" w:color="auto" w:fill="CCCCCC"/>
            <w:vAlign w:val="center"/>
          </w:tcPr>
          <w:p w:rsidR="00F84F32" w:rsidRPr="00407000" w:rsidRDefault="00F84F32" w:rsidP="00407000">
            <w:pPr>
              <w:widowControl/>
              <w:ind w:firstLine="0"/>
              <w:jc w:val="center"/>
              <w:rPr>
                <w:rFonts w:eastAsia="MS Mincho"/>
                <w:b/>
                <w:spacing w:val="4"/>
                <w:sz w:val="18"/>
                <w:szCs w:val="18"/>
                <w:lang w:eastAsia="en-US"/>
              </w:rPr>
            </w:pPr>
            <w:r>
              <w:rPr>
                <w:rFonts w:eastAsia="MS Mincho"/>
                <w:b/>
                <w:spacing w:val="4"/>
                <w:sz w:val="18"/>
                <w:szCs w:val="18"/>
                <w:lang w:eastAsia="en-US"/>
              </w:rPr>
              <w:t>stav v r. 2020</w:t>
            </w:r>
          </w:p>
        </w:tc>
        <w:tc>
          <w:tcPr>
            <w:tcW w:w="745" w:type="dxa"/>
            <w:vMerge/>
            <w:vAlign w:val="center"/>
          </w:tcPr>
          <w:p w:rsidR="00F84F32" w:rsidRPr="00407000" w:rsidRDefault="00F84F32" w:rsidP="00407000">
            <w:pPr>
              <w:widowControl/>
              <w:ind w:firstLine="0"/>
              <w:jc w:val="center"/>
              <w:rPr>
                <w:rFonts w:eastAsia="MS Mincho"/>
                <w:spacing w:val="4"/>
                <w:sz w:val="18"/>
                <w:szCs w:val="18"/>
                <w:lang w:eastAsia="en-US"/>
              </w:rPr>
            </w:pPr>
          </w:p>
        </w:tc>
      </w:tr>
      <w:tr w:rsidR="00F84F32" w:rsidRPr="00407000" w:rsidTr="00636531">
        <w:trPr>
          <w:trHeight w:val="416"/>
        </w:trPr>
        <w:tc>
          <w:tcPr>
            <w:tcW w:w="560" w:type="dxa"/>
            <w:vMerge w:val="restart"/>
            <w:vAlign w:val="center"/>
          </w:tcPr>
          <w:p w:rsidR="00F84F32" w:rsidRPr="00407000" w:rsidRDefault="00F84F32" w:rsidP="00407000">
            <w:pPr>
              <w:ind w:firstLine="0"/>
              <w:jc w:val="center"/>
              <w:rPr>
                <w:sz w:val="18"/>
                <w:szCs w:val="18"/>
              </w:rPr>
            </w:pPr>
            <w:r w:rsidRPr="00407000">
              <w:rPr>
                <w:sz w:val="18"/>
                <w:szCs w:val="18"/>
              </w:rPr>
              <w:t>4.6</w:t>
            </w:r>
          </w:p>
        </w:tc>
        <w:tc>
          <w:tcPr>
            <w:tcW w:w="627" w:type="dxa"/>
            <w:vAlign w:val="center"/>
          </w:tcPr>
          <w:p w:rsidR="00F84F32" w:rsidRPr="00407000" w:rsidRDefault="00F84F32" w:rsidP="00407000">
            <w:pPr>
              <w:ind w:firstLine="27"/>
              <w:jc w:val="center"/>
              <w:rPr>
                <w:sz w:val="18"/>
                <w:szCs w:val="18"/>
              </w:rPr>
            </w:pPr>
            <w:r w:rsidRPr="00407000">
              <w:rPr>
                <w:sz w:val="18"/>
                <w:szCs w:val="18"/>
              </w:rPr>
              <w:t>49.</w:t>
            </w:r>
          </w:p>
        </w:tc>
        <w:tc>
          <w:tcPr>
            <w:tcW w:w="2053" w:type="dxa"/>
            <w:vAlign w:val="center"/>
          </w:tcPr>
          <w:p w:rsidR="00F84F32" w:rsidRPr="00407000" w:rsidRDefault="00F84F32" w:rsidP="00407000">
            <w:pPr>
              <w:ind w:firstLine="0"/>
              <w:jc w:val="left"/>
              <w:rPr>
                <w:sz w:val="18"/>
                <w:szCs w:val="18"/>
              </w:rPr>
            </w:pPr>
            <w:r w:rsidRPr="00407000">
              <w:rPr>
                <w:sz w:val="18"/>
                <w:szCs w:val="18"/>
              </w:rPr>
              <w:t>Podíl obyvatel, kteří</w:t>
            </w:r>
            <w:r>
              <w:rPr>
                <w:sz w:val="18"/>
                <w:szCs w:val="18"/>
              </w:rPr>
              <w:t> </w:t>
            </w:r>
            <w:r w:rsidRPr="00407000">
              <w:rPr>
                <w:sz w:val="18"/>
                <w:szCs w:val="18"/>
              </w:rPr>
              <w:t>se</w:t>
            </w:r>
            <w:r>
              <w:rPr>
                <w:sz w:val="18"/>
                <w:szCs w:val="18"/>
              </w:rPr>
              <w:t> </w:t>
            </w:r>
            <w:r w:rsidRPr="00407000">
              <w:rPr>
                <w:sz w:val="18"/>
                <w:szCs w:val="18"/>
              </w:rPr>
              <w:t>v Olomouci cítí bezpečně (%)</w:t>
            </w:r>
            <w:r>
              <w:rPr>
                <w:rStyle w:val="Znakapoznpodarou"/>
                <w:sz w:val="18"/>
                <w:szCs w:val="18"/>
              </w:rPr>
              <w:footnoteReference w:id="33"/>
            </w:r>
          </w:p>
        </w:tc>
        <w:tc>
          <w:tcPr>
            <w:tcW w:w="1706"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17,5 % rozhodně ano,</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59,3% spíše ano</w:t>
            </w:r>
          </w:p>
        </w:tc>
        <w:tc>
          <w:tcPr>
            <w:tcW w:w="1534"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25 % rozhodně ano,</w:t>
            </w:r>
          </w:p>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60 % spíše ano</w:t>
            </w:r>
          </w:p>
        </w:tc>
        <w:tc>
          <w:tcPr>
            <w:tcW w:w="1055"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w:t>
            </w:r>
          </w:p>
        </w:tc>
        <w:tc>
          <w:tcPr>
            <w:tcW w:w="1188" w:type="dxa"/>
            <w:vAlign w:val="center"/>
          </w:tcPr>
          <w:p w:rsidR="00F84F32" w:rsidRPr="00407000" w:rsidRDefault="00F84F32" w:rsidP="00407000">
            <w:pPr>
              <w:widowControl/>
              <w:ind w:firstLine="0"/>
              <w:jc w:val="center"/>
              <w:rPr>
                <w:rFonts w:eastAsia="MS Mincho"/>
                <w:spacing w:val="4"/>
                <w:sz w:val="18"/>
                <w:szCs w:val="18"/>
                <w:lang w:eastAsia="en-US"/>
              </w:rPr>
            </w:pPr>
            <w:r w:rsidRPr="00407000">
              <w:rPr>
                <w:rFonts w:eastAsia="MS Mincho"/>
                <w:spacing w:val="4"/>
                <w:sz w:val="18"/>
                <w:szCs w:val="18"/>
                <w:lang w:eastAsia="en-US"/>
              </w:rPr>
              <w:t>nesledováno</w:t>
            </w:r>
          </w:p>
        </w:tc>
        <w:tc>
          <w:tcPr>
            <w:tcW w:w="745" w:type="dxa"/>
            <w:vAlign w:val="center"/>
          </w:tcPr>
          <w:p w:rsidR="00F84F32" w:rsidRPr="00407000" w:rsidRDefault="00F84F32" w:rsidP="00407000">
            <w:pPr>
              <w:widowControl/>
              <w:ind w:firstLine="0"/>
              <w:jc w:val="center"/>
              <w:rPr>
                <w:rFonts w:eastAsia="MS Mincho"/>
                <w:spacing w:val="4"/>
                <w:sz w:val="16"/>
                <w:szCs w:val="16"/>
                <w:lang w:eastAsia="en-US"/>
              </w:rPr>
            </w:pPr>
          </w:p>
        </w:tc>
      </w:tr>
      <w:tr w:rsidR="00F84F32" w:rsidRPr="00407000" w:rsidTr="00636531">
        <w:trPr>
          <w:trHeight w:val="416"/>
        </w:trPr>
        <w:tc>
          <w:tcPr>
            <w:tcW w:w="560" w:type="dxa"/>
            <w:vMerge/>
            <w:tcBorders>
              <w:bottom w:val="single" w:sz="12" w:space="0" w:color="000000"/>
            </w:tcBorders>
            <w:vAlign w:val="center"/>
          </w:tcPr>
          <w:p w:rsidR="00F84F32" w:rsidRPr="00407000" w:rsidRDefault="00F84F32" w:rsidP="00407000">
            <w:pPr>
              <w:ind w:firstLine="0"/>
              <w:jc w:val="center"/>
              <w:rPr>
                <w:sz w:val="18"/>
                <w:szCs w:val="18"/>
              </w:rPr>
            </w:pPr>
          </w:p>
        </w:tc>
        <w:tc>
          <w:tcPr>
            <w:tcW w:w="627" w:type="dxa"/>
            <w:tcBorders>
              <w:bottom w:val="single" w:sz="12" w:space="0" w:color="000000"/>
            </w:tcBorders>
            <w:vAlign w:val="center"/>
          </w:tcPr>
          <w:p w:rsidR="00F84F32" w:rsidRPr="00407000" w:rsidRDefault="00F84F32" w:rsidP="00407000">
            <w:pPr>
              <w:ind w:firstLine="27"/>
              <w:jc w:val="center"/>
              <w:rPr>
                <w:sz w:val="18"/>
                <w:szCs w:val="18"/>
              </w:rPr>
            </w:pPr>
            <w:r w:rsidRPr="00407000">
              <w:rPr>
                <w:sz w:val="18"/>
                <w:szCs w:val="18"/>
              </w:rPr>
              <w:t>-</w:t>
            </w:r>
          </w:p>
        </w:tc>
        <w:tc>
          <w:tcPr>
            <w:tcW w:w="8281" w:type="dxa"/>
            <w:gridSpan w:val="6"/>
            <w:tcBorders>
              <w:bottom w:val="single" w:sz="12" w:space="0" w:color="000000"/>
            </w:tcBorders>
            <w:vAlign w:val="center"/>
          </w:tcPr>
          <w:p w:rsidR="00F84F32" w:rsidRPr="00407000" w:rsidRDefault="00F84F32" w:rsidP="00407000">
            <w:pPr>
              <w:ind w:firstLine="0"/>
              <w:jc w:val="left"/>
              <w:rPr>
                <w:sz w:val="18"/>
                <w:szCs w:val="18"/>
              </w:rPr>
            </w:pPr>
            <w:r w:rsidRPr="00407000">
              <w:rPr>
                <w:sz w:val="18"/>
                <w:szCs w:val="18"/>
              </w:rPr>
              <w:t>Indikátory jsou stanoveny a budou vyhodnocovány na základě každoročního hodnocení programu Koncepce prevence kriminality města Olomouce.</w:t>
            </w:r>
          </w:p>
        </w:tc>
      </w:tr>
    </w:tbl>
    <w:p w:rsidR="00F84F32" w:rsidRPr="00407000" w:rsidRDefault="00F84F32" w:rsidP="00407000"/>
    <w:p w:rsidR="00F84F32" w:rsidRPr="00407000" w:rsidRDefault="00F84F32" w:rsidP="00407000">
      <w:pPr>
        <w:ind w:firstLine="0"/>
        <w:rPr>
          <w:b/>
        </w:rPr>
      </w:pPr>
      <w:r w:rsidRPr="00407000">
        <w:rPr>
          <w:b/>
        </w:rPr>
        <w:t>Opatření 4.6.1 Podpora vzdělávání, poradenství a osvěty</w:t>
      </w:r>
    </w:p>
    <w:p w:rsidR="00F84F32" w:rsidRPr="00407000" w:rsidRDefault="00F84F32" w:rsidP="00407000">
      <w:pPr>
        <w:ind w:firstLine="0"/>
        <w:rPr>
          <w:u w:val="single"/>
        </w:rPr>
      </w:pPr>
      <w:r w:rsidRPr="00407000">
        <w:rPr>
          <w:u w:val="single"/>
        </w:rPr>
        <w:t>Stav opatření:</w:t>
      </w:r>
    </w:p>
    <w:p w:rsidR="00F84F32" w:rsidRPr="00407000" w:rsidRDefault="00F84F32" w:rsidP="00AD01FB">
      <w:r w:rsidRPr="009F3990">
        <w:t>V roce 2020 bylo realizováno 6 projektů z oblasti vzdělávání, prevence a poradenství: Prevence rizikového chování – všeobecná primární prevence</w:t>
      </w:r>
      <w:r>
        <w:t>,</w:t>
      </w:r>
      <w:r w:rsidRPr="009F3990">
        <w:t xml:space="preserve"> Prevence rizikového chování – selektivní primární prevence</w:t>
      </w:r>
      <w:r>
        <w:t>,</w:t>
      </w:r>
      <w:r w:rsidRPr="009F3990">
        <w:t xml:space="preserve"> Prevence rizikového chování – indikovaná primární prevence (</w:t>
      </w:r>
      <w:r>
        <w:t xml:space="preserve">všechny realizovalo </w:t>
      </w:r>
      <w:r w:rsidRPr="009F3990">
        <w:t>P-centrum, spolek)</w:t>
      </w:r>
      <w:r>
        <w:t>,</w:t>
      </w:r>
      <w:r w:rsidRPr="009F3990">
        <w:t xml:space="preserve"> Prožitkové programy všeobecné, selekti</w:t>
      </w:r>
      <w:r>
        <w:t>vní a indikované prevence na Olomouckých</w:t>
      </w:r>
      <w:r w:rsidRPr="009F3990">
        <w:t xml:space="preserve"> školách a v Dramacentru Olomouc v roce 2020 - roční preventivní program</w:t>
      </w:r>
      <w:r>
        <w:t xml:space="preserve"> (Sdružení D, z. ú.), </w:t>
      </w:r>
      <w:r w:rsidRPr="009F3990">
        <w:t>Umět se dívat kolem sebe V (COMBAT ELEMENTS z. s.</w:t>
      </w:r>
      <w:r>
        <w:t>),</w:t>
      </w:r>
      <w:r w:rsidRPr="009F3990">
        <w:t xml:space="preserve"> Online poradna centra PRVOK 2020 (doc. Mgr. Kamil Kopecký, Ph.D.)</w:t>
      </w:r>
      <w:r>
        <w:t>.</w:t>
      </w:r>
    </w:p>
    <w:p w:rsidR="00F84F32" w:rsidRPr="00407000" w:rsidRDefault="00F84F32" w:rsidP="00AD01FB"/>
    <w:p w:rsidR="00F84F32" w:rsidRPr="00407000" w:rsidRDefault="00F84F32" w:rsidP="00407000">
      <w:pPr>
        <w:ind w:firstLine="0"/>
        <w:rPr>
          <w:b/>
        </w:rPr>
      </w:pPr>
      <w:r w:rsidRPr="00407000">
        <w:rPr>
          <w:b/>
        </w:rPr>
        <w:t>Opatření 4.6.2 Aktivity situační prevence</w:t>
      </w:r>
    </w:p>
    <w:p w:rsidR="00F84F32" w:rsidRPr="00407000" w:rsidRDefault="00F84F32" w:rsidP="00407000">
      <w:pPr>
        <w:ind w:firstLine="0"/>
        <w:rPr>
          <w:u w:val="single"/>
        </w:rPr>
      </w:pPr>
      <w:r w:rsidRPr="00407000">
        <w:rPr>
          <w:u w:val="single"/>
        </w:rPr>
        <w:t>Stav opatření:</w:t>
      </w:r>
    </w:p>
    <w:p w:rsidR="00F84F32" w:rsidRPr="00407000" w:rsidRDefault="00F84F32" w:rsidP="00BF54A2">
      <w:r w:rsidRPr="00BF54A2">
        <w:t>V roce 2020 byl realizován 1 projekt z oblasti situační prevence - Rozšíření MKDS – nové kamerové body a rozšíření stávajících otočných kamer (Městská policie Olomouc)</w:t>
      </w:r>
      <w:r>
        <w:t>.</w:t>
      </w:r>
      <w:r w:rsidRPr="00BF54A2">
        <w:t xml:space="preserve"> Tento</w:t>
      </w:r>
      <w:r>
        <w:t xml:space="preserve"> projekt byl podpořen</w:t>
      </w:r>
      <w:r w:rsidRPr="00BF54A2">
        <w:t xml:space="preserve"> rovněž dotací MV ČR ve výši 500</w:t>
      </w:r>
      <w:r>
        <w:t> tis.</w:t>
      </w:r>
      <w:r w:rsidRPr="00BF54A2">
        <w:t xml:space="preserve"> Kč. Byly osazeny 4 nové kamerové body v lokalitách Gorazdova náměstí, Palachova náměstí u Terezské brány, na</w:t>
      </w:r>
      <w:r>
        <w:t> </w:t>
      </w:r>
      <w:r w:rsidRPr="00BF54A2">
        <w:t xml:space="preserve">tř. Svobody u Filozofické fakulty </w:t>
      </w:r>
      <w:r>
        <w:t>UP a v křižovatce ulic 8. k</w:t>
      </w:r>
      <w:r w:rsidRPr="00BF54A2">
        <w:t>větna a Zámečnická.</w:t>
      </w:r>
      <w:r w:rsidRPr="006A016C">
        <w:t xml:space="preserve"> </w:t>
      </w:r>
    </w:p>
    <w:p w:rsidR="00F84F32" w:rsidRPr="00407000" w:rsidRDefault="00F84F32" w:rsidP="007B71F8">
      <w:pPr>
        <w:ind w:firstLine="0"/>
      </w:pPr>
    </w:p>
    <w:p w:rsidR="00F84F32" w:rsidRPr="00407000" w:rsidRDefault="00F84F32" w:rsidP="00407000">
      <w:pPr>
        <w:ind w:firstLine="0"/>
        <w:rPr>
          <w:b/>
        </w:rPr>
      </w:pPr>
      <w:r w:rsidRPr="00407000">
        <w:rPr>
          <w:b/>
        </w:rPr>
        <w:t>Opatření 4.6.3 Realizace aktivit sociální prevence</w:t>
      </w:r>
    </w:p>
    <w:p w:rsidR="00F84F32" w:rsidRPr="00407000" w:rsidRDefault="00F84F32" w:rsidP="00407000">
      <w:pPr>
        <w:ind w:firstLine="0"/>
        <w:rPr>
          <w:u w:val="single"/>
        </w:rPr>
      </w:pPr>
      <w:r w:rsidRPr="00407000">
        <w:rPr>
          <w:u w:val="single"/>
        </w:rPr>
        <w:t>Stav opatření:</w:t>
      </w:r>
    </w:p>
    <w:p w:rsidR="00F84F32" w:rsidRDefault="00F84F32" w:rsidP="00DE5C5C">
      <w:r w:rsidRPr="00734BE4">
        <w:t>V r</w:t>
      </w:r>
      <w:r>
        <w:t>.</w:t>
      </w:r>
      <w:r w:rsidRPr="00734BE4">
        <w:t xml:space="preserve"> 2020 bylo realizováno 7 projektů z oblasti sociální prevence – práce s rizikovými skupinami: Nový Prostor a Housing first</w:t>
      </w:r>
      <w:r>
        <w:t>,</w:t>
      </w:r>
      <w:r w:rsidRPr="00734BE4">
        <w:t xml:space="preserve"> Prevence kriminality v NZDM a terénu v Olomouci</w:t>
      </w:r>
      <w:r>
        <w:t>,</w:t>
      </w:r>
      <w:r w:rsidRPr="00734BE4">
        <w:t xml:space="preserve"> Prevence kriminality spojená s patologickým hráčstvím (</w:t>
      </w:r>
      <w:r>
        <w:t xml:space="preserve">všechny realizovala </w:t>
      </w:r>
      <w:r w:rsidRPr="00734BE4">
        <w:t>Společnost Podané ruce o.p.s.)</w:t>
      </w:r>
      <w:r>
        <w:t>,</w:t>
      </w:r>
      <w:r w:rsidRPr="00734BE4">
        <w:t xml:space="preserve"> Preventivní programy pro děti a mládež (Charita Olomouc</w:t>
      </w:r>
      <w:r>
        <w:t xml:space="preserve">), </w:t>
      </w:r>
      <w:r w:rsidRPr="00734BE4">
        <w:t>KC Olomouc 2019 (Společenství Romů na Moravě Romano Jekhetaniben pre Morava spolek)</w:t>
      </w:r>
      <w:r>
        <w:t>,</w:t>
      </w:r>
      <w:r w:rsidRPr="00734BE4">
        <w:t xml:space="preserve"> Preventivní prázdninový pobyt pro děti z rodin ohrožených sociálním vyloučením (Maltézská pomoc, o.p.s.)</w:t>
      </w:r>
      <w:r>
        <w:t>,</w:t>
      </w:r>
      <w:r w:rsidRPr="00734BE4">
        <w:t xml:space="preserve"> Dobrovolnictví na Olomoucku (JIKA – Olomoucké dobrovolnické centrum).</w:t>
      </w:r>
      <w:r>
        <w:t xml:space="preserve"> </w:t>
      </w:r>
    </w:p>
    <w:p w:rsidR="00F84F32" w:rsidRDefault="00F84F32" w:rsidP="00DE5C5C"/>
    <w:p w:rsidR="00F84F32" w:rsidRDefault="00F84F32" w:rsidP="00DE5C5C"/>
    <w:p w:rsidR="00A70F90" w:rsidRDefault="00A70F90" w:rsidP="00DE5C5C"/>
    <w:p w:rsidR="00A70F90" w:rsidRDefault="00A70F90" w:rsidP="00DE5C5C"/>
    <w:p w:rsidR="00A70F90" w:rsidRDefault="00A70F90" w:rsidP="00DE5C5C"/>
    <w:p w:rsidR="00A70F90" w:rsidRDefault="00A70F90" w:rsidP="00DE5C5C"/>
    <w:p w:rsidR="00A70F90" w:rsidRDefault="00A70F90" w:rsidP="00DE5C5C"/>
    <w:p w:rsidR="00A70F90" w:rsidRPr="00407000" w:rsidRDefault="00A70F90" w:rsidP="00DE5C5C">
      <w:bookmarkStart w:id="21" w:name="_GoBack"/>
      <w:bookmarkEnd w:id="21"/>
    </w:p>
    <w:p w:rsidR="00F84F32" w:rsidRPr="00407000" w:rsidRDefault="00F84F32" w:rsidP="00407000">
      <w:pPr>
        <w:pStyle w:val="StylNadpis1Ped0bZa0b"/>
        <w:tabs>
          <w:tab w:val="num" w:pos="567"/>
        </w:tabs>
        <w:ind w:left="567" w:hanging="567"/>
      </w:pPr>
      <w:bookmarkStart w:id="22" w:name="_Toc15637088"/>
      <w:bookmarkStart w:id="23" w:name="_Toc45699134"/>
      <w:r w:rsidRPr="00407000">
        <w:lastRenderedPageBreak/>
        <w:t>Závěr</w:t>
      </w:r>
      <w:bookmarkEnd w:id="22"/>
      <w:bookmarkEnd w:id="23"/>
    </w:p>
    <w:p w:rsidR="00F84F32" w:rsidRPr="00407000" w:rsidRDefault="00F84F32" w:rsidP="00407000"/>
    <w:p w:rsidR="00F84F32" w:rsidRPr="00407000" w:rsidRDefault="00F84F32" w:rsidP="00AD01FB"/>
    <w:p w:rsidR="00F84F32" w:rsidRPr="00407000" w:rsidRDefault="00F84F32" w:rsidP="00AD01FB">
      <w:pPr>
        <w:rPr>
          <w:szCs w:val="28"/>
        </w:rPr>
      </w:pPr>
      <w:r w:rsidRPr="00407000">
        <w:t>Zpráva o naplňování Strategického plánu rozvoje města Olomouce za rok 20</w:t>
      </w:r>
      <w:r>
        <w:t>20</w:t>
      </w:r>
      <w:r w:rsidRPr="00407000">
        <w:t xml:space="preserve"> je předkládána po </w:t>
      </w:r>
      <w:r>
        <w:t>třech</w:t>
      </w:r>
      <w:r w:rsidRPr="00407000">
        <w:t xml:space="preserve"> letech naplňování strategie (implementační pravidla byla schválena Zastupitelstvem města Olomouce v březnu r. 2018)</w:t>
      </w:r>
      <w:r>
        <w:t>. Z</w:t>
      </w:r>
      <w:r w:rsidRPr="00407000">
        <w:t xml:space="preserve">jištění v této monitorovací zprávě </w:t>
      </w:r>
      <w:r>
        <w:t xml:space="preserve">již mají vypovídací hodnotu, ale stále </w:t>
      </w:r>
      <w:r w:rsidRPr="00407000">
        <w:t xml:space="preserve">nejsou zcela určující pro celkové naplnění jednotlivých specifických cílů. </w:t>
      </w:r>
      <w:r>
        <w:rPr>
          <w:szCs w:val="28"/>
        </w:rPr>
        <w:t>Naplňování jednotlivých cílů a opatření bylo v roce 2020 negativně ovlivněno pandemií Covid-19, což se nejvíce projevilo u realizace aktivit v rámci druhého p</w:t>
      </w:r>
      <w:r w:rsidRPr="00E36E88">
        <w:rPr>
          <w:szCs w:val="28"/>
        </w:rPr>
        <w:t>ilíř</w:t>
      </w:r>
      <w:r>
        <w:rPr>
          <w:szCs w:val="28"/>
        </w:rPr>
        <w:t>e</w:t>
      </w:r>
      <w:r w:rsidRPr="00E36E88">
        <w:rPr>
          <w:szCs w:val="28"/>
        </w:rPr>
        <w:t>: Olomouc – perla Evropy</w:t>
      </w:r>
      <w:r>
        <w:rPr>
          <w:szCs w:val="28"/>
        </w:rPr>
        <w:t>.</w:t>
      </w:r>
    </w:p>
    <w:p w:rsidR="00F84F32" w:rsidRPr="00407000" w:rsidRDefault="00F84F32" w:rsidP="00AD01FB">
      <w:pPr>
        <w:rPr>
          <w:szCs w:val="28"/>
        </w:rPr>
      </w:pPr>
      <w:r w:rsidRPr="00407000">
        <w:rPr>
          <w:szCs w:val="28"/>
        </w:rPr>
        <w:t>Závěrem je nutno vyjádřit poděkování všem, kteří se podílejí na realizaci Strategického plánu rozvoje města Olomouce</w:t>
      </w:r>
      <w:r w:rsidRPr="00407000">
        <w:rPr>
          <w:b/>
          <w:color w:val="C00000"/>
          <w:szCs w:val="28"/>
        </w:rPr>
        <w:t xml:space="preserve"> </w:t>
      </w:r>
      <w:r w:rsidRPr="00407000">
        <w:rPr>
          <w:szCs w:val="28"/>
        </w:rPr>
        <w:t>a kteří poskytli součinnost při zpracování této zprávy.</w:t>
      </w:r>
    </w:p>
    <w:p w:rsidR="00F84F32" w:rsidRDefault="00F84F32" w:rsidP="00407000"/>
    <w:p w:rsidR="00F84F32" w:rsidRDefault="00F84F32" w:rsidP="00407000"/>
    <w:p w:rsidR="00F84F32" w:rsidRDefault="00F84F32" w:rsidP="00407000"/>
    <w:p w:rsidR="00F84F32" w:rsidRPr="00407000" w:rsidRDefault="00F84F32" w:rsidP="00407000"/>
    <w:p w:rsidR="00F84F32" w:rsidRPr="00407000" w:rsidRDefault="00F84F32" w:rsidP="00407000">
      <w:pPr>
        <w:pStyle w:val="StylNadpis1Ped0bZa0b"/>
        <w:tabs>
          <w:tab w:val="num" w:pos="567"/>
        </w:tabs>
        <w:ind w:left="567" w:hanging="567"/>
      </w:pPr>
      <w:r w:rsidRPr="00A65AC1">
        <w:br w:type="page"/>
      </w:r>
      <w:bookmarkStart w:id="24" w:name="_Toc15637089"/>
      <w:bookmarkStart w:id="25" w:name="_Toc45699135"/>
      <w:r w:rsidRPr="00407000">
        <w:lastRenderedPageBreak/>
        <w:t>Zkratky a vysvětlivky</w:t>
      </w:r>
      <w:bookmarkEnd w:id="24"/>
      <w:bookmarkEnd w:id="25"/>
    </w:p>
    <w:p w:rsidR="00F84F32" w:rsidRPr="00407000" w:rsidRDefault="00F84F32" w:rsidP="00407000"/>
    <w:p w:rsidR="00F84F32" w:rsidRPr="00407000" w:rsidRDefault="00F84F32" w:rsidP="00407000"/>
    <w:p w:rsidR="00F84F32" w:rsidRDefault="00F84F32" w:rsidP="00407000">
      <w:pPr>
        <w:ind w:firstLine="0"/>
      </w:pPr>
      <w:r w:rsidRPr="00A2077D">
        <w:rPr>
          <w:b/>
        </w:rPr>
        <w:t xml:space="preserve">BV </w:t>
      </w:r>
      <w:r w:rsidRPr="00A2077D">
        <w:t>– bezbariérové vozy</w:t>
      </w:r>
      <w:r w:rsidRPr="00407000">
        <w:t xml:space="preserve"> (tzn. do vozu je umožněn bezbariérový vstup alespoň jedněmi dveřmi)</w:t>
      </w:r>
    </w:p>
    <w:p w:rsidR="00F84F32" w:rsidRDefault="00F84F32" w:rsidP="00407000">
      <w:pPr>
        <w:ind w:firstLine="0"/>
      </w:pPr>
      <w:r w:rsidRPr="003A28D5">
        <w:rPr>
          <w:b/>
        </w:rPr>
        <w:t>CLV</w:t>
      </w:r>
      <w:r>
        <w:t xml:space="preserve"> – City Light Vitrine, nosič venkovní reklami</w:t>
      </w:r>
    </w:p>
    <w:p w:rsidR="00F84F32" w:rsidRDefault="00F84F32" w:rsidP="00407000">
      <w:pPr>
        <w:ind w:firstLine="0"/>
      </w:pPr>
      <w:r w:rsidRPr="003A28D5">
        <w:rPr>
          <w:b/>
        </w:rPr>
        <w:t>CSR</w:t>
      </w:r>
      <w:r>
        <w:t xml:space="preserve"> – Corporate Social Value, společenská odpovědnost firem</w:t>
      </w:r>
    </w:p>
    <w:p w:rsidR="00F84F32" w:rsidRDefault="00F84F32" w:rsidP="00407000">
      <w:pPr>
        <w:ind w:firstLine="0"/>
      </w:pPr>
      <w:r w:rsidRPr="004072F7">
        <w:rPr>
          <w:b/>
        </w:rPr>
        <w:t>ČHMÚ</w:t>
      </w:r>
      <w:r>
        <w:t xml:space="preserve"> – </w:t>
      </w:r>
      <w:r w:rsidRPr="004072F7">
        <w:t>Český hydrometeorologický ústav</w:t>
      </w:r>
    </w:p>
    <w:p w:rsidR="00F84F32" w:rsidRDefault="00F84F32" w:rsidP="00407000">
      <w:pPr>
        <w:ind w:firstLine="0"/>
      </w:pPr>
      <w:r w:rsidRPr="00A2077D">
        <w:rPr>
          <w:b/>
        </w:rPr>
        <w:t>ČMZRB</w:t>
      </w:r>
      <w:r>
        <w:t xml:space="preserve"> – </w:t>
      </w:r>
      <w:r w:rsidRPr="009A20F4">
        <w:t>Českomoravská záruční a rozvojová banka, a.s.</w:t>
      </w:r>
    </w:p>
    <w:p w:rsidR="00F84F32" w:rsidRPr="00407000" w:rsidRDefault="00F84F32" w:rsidP="00407000">
      <w:pPr>
        <w:ind w:firstLine="0"/>
      </w:pPr>
      <w:r w:rsidRPr="007A71E2">
        <w:rPr>
          <w:b/>
        </w:rPr>
        <w:t>ČOV</w:t>
      </w:r>
      <w:r>
        <w:t xml:space="preserve"> – čistička odpadních vod</w:t>
      </w:r>
    </w:p>
    <w:p w:rsidR="00F84F32" w:rsidRDefault="00F84F32" w:rsidP="00407000">
      <w:pPr>
        <w:ind w:firstLine="0"/>
      </w:pPr>
      <w:r w:rsidRPr="00407000">
        <w:rPr>
          <w:b/>
        </w:rPr>
        <w:t xml:space="preserve">DPMO </w:t>
      </w:r>
      <w:r w:rsidRPr="00407000">
        <w:t>– Dopravní podnik města Olomouce</w:t>
      </w:r>
    </w:p>
    <w:p w:rsidR="00F84F32" w:rsidRDefault="00F84F32" w:rsidP="00407000">
      <w:pPr>
        <w:ind w:firstLine="0"/>
      </w:pPr>
      <w:r w:rsidRPr="00A2077D">
        <w:rPr>
          <w:b/>
        </w:rPr>
        <w:t>DPS</w:t>
      </w:r>
      <w:r>
        <w:t xml:space="preserve"> – d</w:t>
      </w:r>
      <w:r w:rsidRPr="009A20F4">
        <w:t>okumentace pro provedení stavby</w:t>
      </w:r>
    </w:p>
    <w:p w:rsidR="00F84F32" w:rsidRDefault="00F84F32" w:rsidP="00407000">
      <w:pPr>
        <w:ind w:firstLine="0"/>
      </w:pPr>
      <w:r w:rsidRPr="00A2077D">
        <w:rPr>
          <w:b/>
        </w:rPr>
        <w:t>EFQM</w:t>
      </w:r>
      <w:r>
        <w:t xml:space="preserve"> – </w:t>
      </w:r>
      <w:r w:rsidRPr="00234B0C">
        <w:t>European Foundation of Quality Management</w:t>
      </w:r>
    </w:p>
    <w:p w:rsidR="00F84F32" w:rsidRDefault="00F84F32" w:rsidP="00407000">
      <w:pPr>
        <w:ind w:firstLine="0"/>
      </w:pPr>
      <w:r w:rsidRPr="00A2077D">
        <w:rPr>
          <w:b/>
        </w:rPr>
        <w:t>EVVO</w:t>
      </w:r>
      <w:r>
        <w:t xml:space="preserve"> – </w:t>
      </w:r>
      <w:r w:rsidRPr="00883205">
        <w:t>Environmentální vzdělávání, výchova a osvěta</w:t>
      </w:r>
    </w:p>
    <w:p w:rsidR="00F84F32" w:rsidRPr="00407000" w:rsidRDefault="00F84F32" w:rsidP="00407000">
      <w:pPr>
        <w:ind w:firstLine="0"/>
      </w:pPr>
      <w:r w:rsidRPr="00A2077D">
        <w:rPr>
          <w:b/>
        </w:rPr>
        <w:t>HR</w:t>
      </w:r>
      <w:r>
        <w:t xml:space="preserve"> – Human Resources, lidské zdroje</w:t>
      </w:r>
    </w:p>
    <w:p w:rsidR="00F84F32" w:rsidRDefault="00F84F32" w:rsidP="00407000">
      <w:pPr>
        <w:ind w:firstLine="0"/>
      </w:pPr>
      <w:r w:rsidRPr="00407000">
        <w:rPr>
          <w:b/>
        </w:rPr>
        <w:t>IC</w:t>
      </w:r>
      <w:r w:rsidRPr="00407000">
        <w:t xml:space="preserve"> – Informační centrum </w:t>
      </w:r>
    </w:p>
    <w:p w:rsidR="00F84F32" w:rsidRPr="00407000" w:rsidRDefault="00F84F32" w:rsidP="00407000">
      <w:pPr>
        <w:ind w:firstLine="0"/>
        <w:rPr>
          <w:b/>
        </w:rPr>
      </w:pPr>
      <w:r w:rsidRPr="00A2077D">
        <w:rPr>
          <w:b/>
        </w:rPr>
        <w:t>ICOK</w:t>
      </w:r>
      <w:r>
        <w:t xml:space="preserve"> – Inovační centrum Olomouckého kraje</w:t>
      </w:r>
    </w:p>
    <w:p w:rsidR="00F84F32" w:rsidRPr="00407000" w:rsidRDefault="00F84F32" w:rsidP="00407000">
      <w:pPr>
        <w:ind w:firstLine="0"/>
      </w:pPr>
      <w:r w:rsidRPr="00407000">
        <w:rPr>
          <w:b/>
        </w:rPr>
        <w:t>ITI</w:t>
      </w:r>
      <w:r w:rsidRPr="00407000">
        <w:t xml:space="preserve"> – Integrované teritoriální investice</w:t>
      </w:r>
    </w:p>
    <w:p w:rsidR="00F84F32" w:rsidRDefault="00F84F32" w:rsidP="00407000">
      <w:pPr>
        <w:ind w:firstLine="0"/>
      </w:pPr>
      <w:r w:rsidRPr="00407000">
        <w:rPr>
          <w:b/>
        </w:rPr>
        <w:t>IKAP</w:t>
      </w:r>
      <w:r w:rsidRPr="00407000">
        <w:t xml:space="preserve"> – Implementace krajského akčního plánu</w:t>
      </w:r>
    </w:p>
    <w:p w:rsidR="00F84F32" w:rsidRPr="00407000" w:rsidRDefault="00F84F32" w:rsidP="00407000">
      <w:pPr>
        <w:ind w:firstLine="0"/>
      </w:pPr>
      <w:r w:rsidRPr="00A2077D">
        <w:rPr>
          <w:b/>
        </w:rPr>
        <w:t>KC Olomouc</w:t>
      </w:r>
      <w:r>
        <w:t xml:space="preserve"> – Kontaktní centrum v Olomouci</w:t>
      </w:r>
      <w:r w:rsidRPr="00407000">
        <w:t xml:space="preserve"> </w:t>
      </w:r>
    </w:p>
    <w:p w:rsidR="00F84F32" w:rsidRDefault="00F84F32" w:rsidP="00407000">
      <w:pPr>
        <w:ind w:firstLine="0"/>
      </w:pPr>
      <w:r w:rsidRPr="00407000">
        <w:rPr>
          <w:b/>
        </w:rPr>
        <w:t>KKP</w:t>
      </w:r>
      <w:r>
        <w:t xml:space="preserve"> – k</w:t>
      </w:r>
      <w:r w:rsidRPr="00407000">
        <w:t>ulturně kreativní průmysly</w:t>
      </w:r>
    </w:p>
    <w:p w:rsidR="00F84F32" w:rsidRPr="00407000" w:rsidRDefault="00F84F32" w:rsidP="00407000">
      <w:pPr>
        <w:ind w:firstLine="0"/>
      </w:pPr>
      <w:r w:rsidRPr="00A2077D">
        <w:rPr>
          <w:b/>
        </w:rPr>
        <w:t>KMČ</w:t>
      </w:r>
      <w:r>
        <w:t xml:space="preserve"> – </w:t>
      </w:r>
      <w:r w:rsidRPr="009A20F4">
        <w:t>Komise městských částí</w:t>
      </w:r>
    </w:p>
    <w:p w:rsidR="00F84F32" w:rsidRPr="00407000" w:rsidRDefault="00F84F32" w:rsidP="00407000">
      <w:pPr>
        <w:ind w:firstLine="0"/>
      </w:pPr>
      <w:r w:rsidRPr="00407000">
        <w:rPr>
          <w:b/>
        </w:rPr>
        <w:t>KPSS</w:t>
      </w:r>
      <w:r w:rsidRPr="00407000">
        <w:t xml:space="preserve"> – Komunitní plánování sociálních služeb</w:t>
      </w:r>
    </w:p>
    <w:p w:rsidR="00F84F32" w:rsidRPr="00407000" w:rsidRDefault="00F84F32" w:rsidP="00407000">
      <w:pPr>
        <w:ind w:firstLine="0"/>
      </w:pPr>
      <w:r w:rsidRPr="00407000">
        <w:rPr>
          <w:b/>
        </w:rPr>
        <w:t>MAP</w:t>
      </w:r>
      <w:r w:rsidRPr="00407000">
        <w:t xml:space="preserve"> – Místní akční plán </w:t>
      </w:r>
    </w:p>
    <w:p w:rsidR="00F84F32" w:rsidRDefault="00F84F32" w:rsidP="00407000">
      <w:pPr>
        <w:ind w:firstLine="0"/>
        <w:rPr>
          <w:b/>
        </w:rPr>
      </w:pPr>
      <w:r>
        <w:rPr>
          <w:b/>
        </w:rPr>
        <w:t xml:space="preserve">MI </w:t>
      </w:r>
      <w:r w:rsidRPr="00407000">
        <w:t xml:space="preserve">– </w:t>
      </w:r>
      <w:r>
        <w:t xml:space="preserve">monitorovací indikátor </w:t>
      </w:r>
    </w:p>
    <w:p w:rsidR="00F84F32" w:rsidRDefault="00F84F32" w:rsidP="00407000">
      <w:pPr>
        <w:ind w:firstLine="0"/>
      </w:pPr>
      <w:r w:rsidRPr="00407000">
        <w:rPr>
          <w:b/>
        </w:rPr>
        <w:t>MKDS</w:t>
      </w:r>
      <w:r>
        <w:t xml:space="preserve"> – m</w:t>
      </w:r>
      <w:r w:rsidRPr="00407000">
        <w:t>ěstský kamerový dohledový systém</w:t>
      </w:r>
    </w:p>
    <w:p w:rsidR="00F84F32" w:rsidRDefault="00F84F32" w:rsidP="00407000">
      <w:pPr>
        <w:ind w:firstLine="0"/>
      </w:pPr>
      <w:r w:rsidRPr="00A2077D">
        <w:rPr>
          <w:b/>
        </w:rPr>
        <w:t>MMOl</w:t>
      </w:r>
      <w:r>
        <w:t xml:space="preserve"> – Magistrát města Olomouce</w:t>
      </w:r>
    </w:p>
    <w:p w:rsidR="00F84F32" w:rsidRPr="00407000" w:rsidRDefault="00F84F32" w:rsidP="00407000">
      <w:pPr>
        <w:ind w:firstLine="0"/>
      </w:pPr>
      <w:r w:rsidRPr="007A71E2">
        <w:rPr>
          <w:b/>
        </w:rPr>
        <w:t>MMR</w:t>
      </w:r>
      <w:r>
        <w:t xml:space="preserve"> – Ministerstvo pro místní rozvoj</w:t>
      </w:r>
    </w:p>
    <w:p w:rsidR="00F84F32" w:rsidRDefault="00F84F32" w:rsidP="00407000">
      <w:pPr>
        <w:ind w:firstLine="0"/>
      </w:pPr>
      <w:r w:rsidRPr="00407000">
        <w:rPr>
          <w:b/>
        </w:rPr>
        <w:t xml:space="preserve">MPO </w:t>
      </w:r>
      <w:r w:rsidRPr="00407000">
        <w:t>– Městská policie Olomouc</w:t>
      </w:r>
    </w:p>
    <w:p w:rsidR="00F84F32" w:rsidRDefault="00F84F32" w:rsidP="00407000">
      <w:pPr>
        <w:ind w:firstLine="0"/>
      </w:pPr>
      <w:r w:rsidRPr="007A71E2">
        <w:rPr>
          <w:b/>
        </w:rPr>
        <w:t>MPR</w:t>
      </w:r>
      <w:r>
        <w:t xml:space="preserve"> – městská památková rezervace</w:t>
      </w:r>
    </w:p>
    <w:p w:rsidR="00F84F32" w:rsidRDefault="00F84F32" w:rsidP="00407000">
      <w:pPr>
        <w:ind w:firstLine="0"/>
      </w:pPr>
      <w:r w:rsidRPr="00A2077D">
        <w:rPr>
          <w:b/>
        </w:rPr>
        <w:t>MSP</w:t>
      </w:r>
      <w:r w:rsidRPr="00344220">
        <w:t xml:space="preserve"> </w:t>
      </w:r>
      <w:r>
        <w:t>– malé a střední podniky</w:t>
      </w:r>
    </w:p>
    <w:p w:rsidR="00F84F32" w:rsidRDefault="00F84F32" w:rsidP="00407000">
      <w:pPr>
        <w:ind w:firstLine="0"/>
      </w:pPr>
      <w:r w:rsidRPr="00A2077D">
        <w:rPr>
          <w:b/>
        </w:rPr>
        <w:t>MŠ</w:t>
      </w:r>
      <w:r>
        <w:t xml:space="preserve"> – mateřská škola</w:t>
      </w:r>
    </w:p>
    <w:p w:rsidR="00F84F32" w:rsidRPr="00407000" w:rsidRDefault="00F84F32" w:rsidP="00407000">
      <w:pPr>
        <w:ind w:firstLine="0"/>
      </w:pPr>
      <w:r w:rsidRPr="00A2077D">
        <w:rPr>
          <w:b/>
        </w:rPr>
        <w:t>MŠMT</w:t>
      </w:r>
      <w:r>
        <w:t xml:space="preserve"> – Ministerstvo školství, mládeže a tělovýchovy</w:t>
      </w:r>
    </w:p>
    <w:p w:rsidR="00F84F32" w:rsidRPr="00407000" w:rsidRDefault="00F84F32" w:rsidP="00407000">
      <w:pPr>
        <w:ind w:firstLine="0"/>
      </w:pPr>
      <w:r w:rsidRPr="00407000">
        <w:rPr>
          <w:b/>
        </w:rPr>
        <w:t xml:space="preserve">MV </w:t>
      </w:r>
      <w:r>
        <w:rPr>
          <w:b/>
        </w:rPr>
        <w:t xml:space="preserve">ČR </w:t>
      </w:r>
      <w:r w:rsidRPr="00407000">
        <w:t>– Ministerstvo vnitra</w:t>
      </w:r>
      <w:r>
        <w:t xml:space="preserve"> České republiky</w:t>
      </w:r>
    </w:p>
    <w:p w:rsidR="00F84F32" w:rsidRPr="0021018C" w:rsidRDefault="00F84F32" w:rsidP="00407000">
      <w:pPr>
        <w:ind w:firstLine="0"/>
        <w:rPr>
          <w:b/>
        </w:rPr>
      </w:pPr>
      <w:r w:rsidRPr="00A2077D">
        <w:rPr>
          <w:b/>
        </w:rPr>
        <w:t xml:space="preserve">MVŠO </w:t>
      </w:r>
      <w:r w:rsidRPr="00A2077D">
        <w:t>– Moravská vysoká škola Olomouc</w:t>
      </w:r>
    </w:p>
    <w:p w:rsidR="00F84F32" w:rsidRPr="00407000" w:rsidRDefault="00F84F32" w:rsidP="00407000">
      <w:pPr>
        <w:ind w:firstLine="0"/>
        <w:rPr>
          <w:b/>
        </w:rPr>
      </w:pPr>
      <w:r w:rsidRPr="00407000">
        <w:rPr>
          <w:b/>
        </w:rPr>
        <w:t>MZI</w:t>
      </w:r>
      <w:r w:rsidRPr="00407000">
        <w:t xml:space="preserve"> – Modrozelená infrastruktura </w:t>
      </w:r>
    </w:p>
    <w:p w:rsidR="00F84F32" w:rsidRPr="00A2077D" w:rsidRDefault="00F84F32" w:rsidP="00407000">
      <w:pPr>
        <w:ind w:firstLine="0"/>
      </w:pPr>
      <w:r w:rsidRPr="00A2077D">
        <w:rPr>
          <w:b/>
        </w:rPr>
        <w:t>n.a.</w:t>
      </w:r>
      <w:r w:rsidRPr="00A2077D">
        <w:t xml:space="preserve"> – data nejsou k dispozici</w:t>
      </w:r>
    </w:p>
    <w:p w:rsidR="00F84F32" w:rsidRPr="00407000" w:rsidRDefault="00F84F32" w:rsidP="00407000">
      <w:pPr>
        <w:ind w:firstLine="0"/>
      </w:pPr>
      <w:r w:rsidRPr="00407000">
        <w:rPr>
          <w:b/>
        </w:rPr>
        <w:t>NZDM</w:t>
      </w:r>
      <w:r w:rsidRPr="00407000">
        <w:t xml:space="preserve"> – Nízkoprahová zařízení pro děti a mládež</w:t>
      </w:r>
    </w:p>
    <w:p w:rsidR="00F84F32" w:rsidRPr="00407000" w:rsidRDefault="00F84F32" w:rsidP="00407000">
      <w:pPr>
        <w:ind w:firstLine="0"/>
      </w:pPr>
      <w:r>
        <w:rPr>
          <w:b/>
        </w:rPr>
        <w:t>ODÚ</w:t>
      </w:r>
      <w:r w:rsidRPr="00407000">
        <w:rPr>
          <w:b/>
        </w:rPr>
        <w:t>R</w:t>
      </w:r>
      <w:r w:rsidRPr="00407000">
        <w:t xml:space="preserve"> – odbor dopravy a územního rozvoje</w:t>
      </w:r>
    </w:p>
    <w:p w:rsidR="00F84F32" w:rsidRPr="00407000" w:rsidRDefault="00F84F32" w:rsidP="00407000">
      <w:pPr>
        <w:ind w:firstLine="0"/>
      </w:pPr>
      <w:r w:rsidRPr="00407000">
        <w:rPr>
          <w:b/>
        </w:rPr>
        <w:t>OHK</w:t>
      </w:r>
      <w:r w:rsidRPr="00407000">
        <w:t xml:space="preserve"> – Okresní hospodářská komora</w:t>
      </w:r>
    </w:p>
    <w:p w:rsidR="00F84F32" w:rsidRPr="00407000" w:rsidRDefault="00F84F32" w:rsidP="00407000">
      <w:pPr>
        <w:ind w:firstLine="0"/>
      </w:pPr>
      <w:r w:rsidRPr="00407000">
        <w:rPr>
          <w:b/>
        </w:rPr>
        <w:t xml:space="preserve">ORP </w:t>
      </w:r>
      <w:r>
        <w:t>– o</w:t>
      </w:r>
      <w:r w:rsidRPr="00407000">
        <w:t xml:space="preserve">bec s rozšířenou působností </w:t>
      </w:r>
    </w:p>
    <w:p w:rsidR="00F84F32" w:rsidRPr="00407000" w:rsidRDefault="00F84F32" w:rsidP="00407000">
      <w:pPr>
        <w:ind w:firstLine="0"/>
      </w:pPr>
      <w:r w:rsidRPr="00407000">
        <w:rPr>
          <w:b/>
        </w:rPr>
        <w:t>OSV</w:t>
      </w:r>
      <w:r>
        <w:t xml:space="preserve"> – o</w:t>
      </w:r>
      <w:r w:rsidRPr="00407000">
        <w:t xml:space="preserve">dbor sociálních věcí </w:t>
      </w:r>
    </w:p>
    <w:p w:rsidR="00F84F32" w:rsidRDefault="00F84F32" w:rsidP="00407000">
      <w:pPr>
        <w:ind w:firstLine="0"/>
      </w:pPr>
      <w:r w:rsidRPr="00A2077D">
        <w:rPr>
          <w:b/>
        </w:rPr>
        <w:t xml:space="preserve">PBV </w:t>
      </w:r>
      <w:r w:rsidRPr="00A2077D">
        <w:t>– plně bezbariérové vozy (tzn. bezbariérový vstup do vozu je umožněn všemi dveřmi, stejně tak by měl být bezbariérový i pohyb po vozidle)</w:t>
      </w:r>
    </w:p>
    <w:p w:rsidR="00F84F32" w:rsidRPr="00407000" w:rsidRDefault="00F84F32" w:rsidP="00407000">
      <w:pPr>
        <w:ind w:firstLine="0"/>
      </w:pPr>
      <w:r w:rsidRPr="00A2077D">
        <w:rPr>
          <w:b/>
        </w:rPr>
        <w:t>PedF UP</w:t>
      </w:r>
      <w:r>
        <w:t xml:space="preserve"> – Pedagogická fakulta Univerzity Palackého</w:t>
      </w:r>
    </w:p>
    <w:p w:rsidR="00F84F32" w:rsidRDefault="00F84F32" w:rsidP="00407000">
      <w:pPr>
        <w:ind w:firstLine="0"/>
      </w:pPr>
      <w:r w:rsidRPr="00407000">
        <w:rPr>
          <w:b/>
        </w:rPr>
        <w:t>PPO</w:t>
      </w:r>
      <w:r w:rsidRPr="00407000">
        <w:t xml:space="preserve"> – protipovodňová opatření</w:t>
      </w:r>
    </w:p>
    <w:p w:rsidR="00F84F32" w:rsidRPr="00407000" w:rsidRDefault="00F84F32" w:rsidP="00407000">
      <w:pPr>
        <w:ind w:firstLine="0"/>
      </w:pPr>
      <w:r w:rsidRPr="00A2077D">
        <w:rPr>
          <w:b/>
        </w:rPr>
        <w:t>PřF UP</w:t>
      </w:r>
      <w:r>
        <w:t xml:space="preserve"> – Přírodovědecká fakulta Univerzity Palackého</w:t>
      </w:r>
    </w:p>
    <w:p w:rsidR="00F84F32" w:rsidRPr="00407000" w:rsidRDefault="00F84F32" w:rsidP="00407000">
      <w:pPr>
        <w:ind w:firstLine="0"/>
      </w:pPr>
      <w:r w:rsidRPr="00A2077D">
        <w:rPr>
          <w:b/>
        </w:rPr>
        <w:lastRenderedPageBreak/>
        <w:t>RIS</w:t>
      </w:r>
      <w:r>
        <w:rPr>
          <w:b/>
        </w:rPr>
        <w:t>3</w:t>
      </w:r>
      <w:r>
        <w:t xml:space="preserve"> – </w:t>
      </w:r>
      <w:r w:rsidRPr="00E7570F">
        <w:t xml:space="preserve">Research and Innovation Strategy for Smart Specialisation, </w:t>
      </w:r>
      <w:r>
        <w:t>V</w:t>
      </w:r>
      <w:r w:rsidRPr="00E7570F">
        <w:t>ýzkumná a inovační strategie pro inteligentní specializaci regionu</w:t>
      </w:r>
    </w:p>
    <w:p w:rsidR="00F84F32" w:rsidRDefault="00F84F32" w:rsidP="00407000">
      <w:pPr>
        <w:ind w:firstLine="0"/>
      </w:pPr>
      <w:r w:rsidRPr="00407000">
        <w:rPr>
          <w:b/>
        </w:rPr>
        <w:t>RMO</w:t>
      </w:r>
      <w:r w:rsidRPr="00407000">
        <w:t xml:space="preserve"> – Rada města Olomouce</w:t>
      </w:r>
    </w:p>
    <w:p w:rsidR="00F84F32" w:rsidRPr="00AD7882" w:rsidRDefault="00F84F32" w:rsidP="00AD7882">
      <w:pPr>
        <w:ind w:firstLine="0"/>
      </w:pPr>
      <w:r w:rsidRPr="00AD7882">
        <w:rPr>
          <w:b/>
        </w:rPr>
        <w:t>SA OK –</w:t>
      </w:r>
      <w:r>
        <w:rPr>
          <w:b/>
        </w:rPr>
        <w:t xml:space="preserve"> </w:t>
      </w:r>
      <w:r w:rsidRPr="00AD7882">
        <w:t>Smart Akcelerátor</w:t>
      </w:r>
      <w:r>
        <w:rPr>
          <w:b/>
        </w:rPr>
        <w:t xml:space="preserve"> </w:t>
      </w:r>
      <w:r w:rsidRPr="00AD7882">
        <w:t xml:space="preserve">Olomouckého kraje </w:t>
      </w:r>
    </w:p>
    <w:p w:rsidR="00F84F32" w:rsidRPr="00407000" w:rsidRDefault="00F84F32" w:rsidP="00407000">
      <w:pPr>
        <w:ind w:firstLine="0"/>
      </w:pPr>
      <w:r w:rsidRPr="00407000">
        <w:rPr>
          <w:b/>
        </w:rPr>
        <w:t>SMOl</w:t>
      </w:r>
      <w:r>
        <w:t xml:space="preserve"> – s</w:t>
      </w:r>
      <w:r w:rsidRPr="00407000">
        <w:t>tatutární město Olomouc</w:t>
      </w:r>
    </w:p>
    <w:p w:rsidR="00F84F32" w:rsidRPr="00407000" w:rsidRDefault="00F84F32" w:rsidP="00407000">
      <w:pPr>
        <w:ind w:firstLine="0"/>
      </w:pPr>
      <w:r w:rsidRPr="00A2077D">
        <w:rPr>
          <w:b/>
        </w:rPr>
        <w:t>SŠ</w:t>
      </w:r>
      <w:r>
        <w:t xml:space="preserve"> – střední škola</w:t>
      </w:r>
    </w:p>
    <w:p w:rsidR="00F84F32" w:rsidRPr="00407000" w:rsidRDefault="00F84F32" w:rsidP="00407000">
      <w:pPr>
        <w:ind w:firstLine="0"/>
      </w:pPr>
      <w:r w:rsidRPr="00407000">
        <w:rPr>
          <w:b/>
        </w:rPr>
        <w:t xml:space="preserve">SP </w:t>
      </w:r>
      <w:r w:rsidRPr="00407000">
        <w:t>– Strategický plán rozvoje města Olomouce</w:t>
      </w:r>
    </w:p>
    <w:p w:rsidR="00F84F32" w:rsidRDefault="00F84F32" w:rsidP="00407000">
      <w:pPr>
        <w:ind w:firstLine="0"/>
      </w:pPr>
      <w:r w:rsidRPr="00407000">
        <w:rPr>
          <w:b/>
        </w:rPr>
        <w:t xml:space="preserve">TA ČR </w:t>
      </w:r>
      <w:r w:rsidRPr="00407000">
        <w:t>– Technologická agentura České republiky</w:t>
      </w:r>
    </w:p>
    <w:p w:rsidR="00F84F32" w:rsidRDefault="00F84F32" w:rsidP="00407000">
      <w:pPr>
        <w:ind w:firstLine="0"/>
      </w:pPr>
      <w:r w:rsidRPr="00A2077D">
        <w:rPr>
          <w:b/>
        </w:rPr>
        <w:t>TSMO</w:t>
      </w:r>
      <w:r>
        <w:t xml:space="preserve"> – Technické služby města Olomouce</w:t>
      </w:r>
    </w:p>
    <w:p w:rsidR="00F84F32" w:rsidRDefault="00F84F32" w:rsidP="00407000">
      <w:pPr>
        <w:ind w:firstLine="0"/>
      </w:pPr>
      <w:r w:rsidRPr="007A71E2">
        <w:rPr>
          <w:b/>
        </w:rPr>
        <w:t>UP</w:t>
      </w:r>
      <w:r>
        <w:t xml:space="preserve"> – Univerzita Palackého</w:t>
      </w:r>
    </w:p>
    <w:p w:rsidR="00F84F32" w:rsidRDefault="00F84F32" w:rsidP="00407000">
      <w:pPr>
        <w:ind w:firstLine="0"/>
      </w:pPr>
      <w:r w:rsidRPr="00A2077D">
        <w:rPr>
          <w:b/>
        </w:rPr>
        <w:t>ÚSES</w:t>
      </w:r>
      <w:r>
        <w:t xml:space="preserve"> – Územní systém ekologické stability</w:t>
      </w:r>
    </w:p>
    <w:p w:rsidR="00F84F32" w:rsidRDefault="00F84F32" w:rsidP="00407000">
      <w:pPr>
        <w:ind w:firstLine="0"/>
      </w:pPr>
      <w:r w:rsidRPr="00625C3D">
        <w:rPr>
          <w:b/>
        </w:rPr>
        <w:t>VO</w:t>
      </w:r>
      <w:r>
        <w:t xml:space="preserve"> – veřejné osvětlení</w:t>
      </w:r>
    </w:p>
    <w:p w:rsidR="00F84F32" w:rsidRDefault="00F84F32" w:rsidP="00407000">
      <w:pPr>
        <w:ind w:firstLine="0"/>
      </w:pPr>
      <w:r w:rsidRPr="00625C3D">
        <w:rPr>
          <w:b/>
        </w:rPr>
        <w:t>VŠ</w:t>
      </w:r>
      <w:r>
        <w:t xml:space="preserve"> – vysoká škola</w:t>
      </w:r>
    </w:p>
    <w:p w:rsidR="00F84F32" w:rsidRDefault="00F84F32" w:rsidP="00407000">
      <w:pPr>
        <w:ind w:firstLine="0"/>
      </w:pPr>
      <w:r w:rsidRPr="00625C3D">
        <w:rPr>
          <w:b/>
        </w:rPr>
        <w:t>VP</w:t>
      </w:r>
      <w:r>
        <w:t xml:space="preserve"> – vnitřní předpis</w:t>
      </w:r>
      <w:r w:rsidRPr="00407000">
        <w:t xml:space="preserve"> </w:t>
      </w:r>
    </w:p>
    <w:p w:rsidR="00F84F32" w:rsidRDefault="00F84F32" w:rsidP="00407000">
      <w:pPr>
        <w:ind w:firstLine="0"/>
      </w:pPr>
      <w:r w:rsidRPr="00625C3D">
        <w:rPr>
          <w:b/>
        </w:rPr>
        <w:t>VTP UP</w:t>
      </w:r>
      <w:r>
        <w:t xml:space="preserve"> – Vědeckotechnický park Univerzity Palackého</w:t>
      </w:r>
    </w:p>
    <w:p w:rsidR="00F84F32" w:rsidRPr="00407000" w:rsidRDefault="00F84F32" w:rsidP="00407000">
      <w:pPr>
        <w:ind w:firstLine="0"/>
      </w:pPr>
      <w:r w:rsidRPr="00625C3D">
        <w:rPr>
          <w:b/>
        </w:rPr>
        <w:t>ZŠ</w:t>
      </w:r>
      <w:r>
        <w:t xml:space="preserve"> – základní škola</w:t>
      </w:r>
    </w:p>
    <w:p w:rsidR="00F84F32" w:rsidRPr="00407000" w:rsidRDefault="00F84F32" w:rsidP="00407000"/>
    <w:p w:rsidR="00F84F32" w:rsidRPr="00407000" w:rsidRDefault="00F84F32" w:rsidP="00407000"/>
    <w:sectPr w:rsidR="00F84F32" w:rsidRPr="00407000" w:rsidSect="00E80C4F">
      <w:headerReference w:type="default" r:id="rId18"/>
      <w:pgSz w:w="11906" w:h="16838"/>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32" w:rsidRDefault="00F84F32" w:rsidP="00D15772">
      <w:r>
        <w:separator/>
      </w:r>
    </w:p>
  </w:endnote>
  <w:endnote w:type="continuationSeparator" w:id="0">
    <w:p w:rsidR="00F84F32" w:rsidRDefault="00F84F32" w:rsidP="00D1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siness&amp;Government">
    <w:altName w:val="Symbol"/>
    <w:panose1 w:val="00000000000000000000"/>
    <w:charset w:val="02"/>
    <w:family w:val="swiss"/>
    <w:notTrueType/>
    <w:pitch w:val="variable"/>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Dynamo R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F32" w:rsidRDefault="00F84F32" w:rsidP="00E80C4F">
    <w:pPr>
      <w:pStyle w:val="Zpat"/>
      <w:framePr w:wrap="around" w:vAnchor="text" w:hAnchor="margin" w:xAlign="right" w:y="1"/>
    </w:pPr>
    <w:r>
      <w:fldChar w:fldCharType="begin"/>
    </w:r>
    <w:r>
      <w:instrText xml:space="preserve">PAGE  </w:instrText>
    </w:r>
    <w:r>
      <w:fldChar w:fldCharType="end"/>
    </w:r>
  </w:p>
  <w:p w:rsidR="00F84F32" w:rsidRDefault="00F84F32" w:rsidP="00E80C4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F32" w:rsidRDefault="00A21A80" w:rsidP="00E80C4F">
    <w:pPr>
      <w:pStyle w:val="Zpat"/>
      <w:framePr w:wrap="around" w:vAnchor="text" w:hAnchor="margin" w:xAlign="right" w:y="1"/>
    </w:pPr>
    <w:r>
      <w:fldChar w:fldCharType="begin"/>
    </w:r>
    <w:r>
      <w:instrText xml:space="preserve">PAGE  </w:instrText>
    </w:r>
    <w:r>
      <w:fldChar w:fldCharType="separate"/>
    </w:r>
    <w:r w:rsidR="00A70F90">
      <w:rPr>
        <w:noProof/>
      </w:rPr>
      <w:t>40</w:t>
    </w:r>
    <w:r>
      <w:rPr>
        <w:noProof/>
      </w:rPr>
      <w:fldChar w:fldCharType="end"/>
    </w:r>
  </w:p>
  <w:p w:rsidR="00F84F32" w:rsidRPr="00D20A1E" w:rsidRDefault="00F84F32" w:rsidP="00E80C4F">
    <w:pPr>
      <w:pStyle w:val="Zpat"/>
      <w:pBdr>
        <w:top w:val="single" w:sz="6" w:space="1" w:color="000000"/>
      </w:pBdr>
      <w:tabs>
        <w:tab w:val="left" w:pos="5273"/>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32" w:rsidRDefault="00F84F32" w:rsidP="00D15772">
      <w:r>
        <w:separator/>
      </w:r>
    </w:p>
  </w:footnote>
  <w:footnote w:type="continuationSeparator" w:id="0">
    <w:p w:rsidR="00F84F32" w:rsidRDefault="00F84F32" w:rsidP="00D15772">
      <w:r>
        <w:continuationSeparator/>
      </w:r>
    </w:p>
  </w:footnote>
  <w:footnote w:id="1">
    <w:p w:rsidR="00F84F32" w:rsidRDefault="00F84F32" w:rsidP="001450DE">
      <w:pPr>
        <w:pStyle w:val="Textpoznpodarou"/>
        <w:ind w:firstLine="0"/>
      </w:pPr>
      <w:r>
        <w:rPr>
          <w:rStyle w:val="Znakapoznpodarou"/>
        </w:rPr>
        <w:footnoteRef/>
      </w:r>
      <w:r>
        <w:t xml:space="preserve"> </w:t>
      </w:r>
      <w:r>
        <w:rPr>
          <w:sz w:val="16"/>
          <w:szCs w:val="16"/>
        </w:rPr>
        <w:t>Pořadí</w:t>
      </w:r>
      <w:r w:rsidRPr="001450DE">
        <w:rPr>
          <w:sz w:val="16"/>
          <w:szCs w:val="16"/>
        </w:rPr>
        <w:t xml:space="preserve"> </w:t>
      </w:r>
      <w:r>
        <w:rPr>
          <w:sz w:val="16"/>
          <w:szCs w:val="16"/>
        </w:rPr>
        <w:t xml:space="preserve">je uvedeno </w:t>
      </w:r>
      <w:r w:rsidRPr="001450DE">
        <w:rPr>
          <w:sz w:val="16"/>
          <w:szCs w:val="16"/>
        </w:rPr>
        <w:t xml:space="preserve">za rok </w:t>
      </w:r>
      <w:r w:rsidRPr="0073512F">
        <w:rPr>
          <w:sz w:val="16"/>
          <w:szCs w:val="16"/>
        </w:rPr>
        <w:t>2019, výsledky za rok 2020 budou známy až v září r. 2021.</w:t>
      </w:r>
      <w:r>
        <w:t xml:space="preserve"> </w:t>
      </w:r>
    </w:p>
  </w:footnote>
  <w:footnote w:id="2">
    <w:p w:rsidR="00F84F32" w:rsidRDefault="00F84F32" w:rsidP="003B6E17">
      <w:pPr>
        <w:pStyle w:val="Textpoznpodarou"/>
        <w:ind w:firstLine="0"/>
      </w:pPr>
      <w:r>
        <w:rPr>
          <w:rStyle w:val="Znakapoznpodarou"/>
        </w:rPr>
        <w:footnoteRef/>
      </w:r>
      <w:r>
        <w:t xml:space="preserve"> </w:t>
      </w:r>
      <w:r w:rsidRPr="003B6E17">
        <w:rPr>
          <w:sz w:val="16"/>
          <w:szCs w:val="16"/>
        </w:rPr>
        <w:t>Indikátor je sledován 1x za 5 let.</w:t>
      </w:r>
    </w:p>
  </w:footnote>
  <w:footnote w:id="3">
    <w:p w:rsidR="00F84F32" w:rsidRDefault="00F84F32" w:rsidP="00164689">
      <w:pPr>
        <w:ind w:firstLine="0"/>
      </w:pPr>
      <w:r w:rsidRPr="003B6E17">
        <w:rPr>
          <w:sz w:val="16"/>
          <w:szCs w:val="16"/>
        </w:rPr>
        <w:footnoteRef/>
      </w:r>
      <w:r w:rsidRPr="00164689">
        <w:rPr>
          <w:sz w:val="16"/>
          <w:szCs w:val="16"/>
        </w:rPr>
        <w:t xml:space="preserve"> Statistika nepřijatých dětí do MŠ podle trvalého bydliště neexistuje, ale dle expertního odhadu hodnota z více než 90 % udává děti s trvalým bydlištěm v Olomouci. </w:t>
      </w:r>
    </w:p>
  </w:footnote>
  <w:footnote w:id="4">
    <w:p w:rsidR="00F84F32" w:rsidRDefault="00F84F32" w:rsidP="00164689">
      <w:pPr>
        <w:ind w:firstLine="0"/>
        <w:rPr>
          <w:sz w:val="16"/>
          <w:szCs w:val="16"/>
        </w:rPr>
      </w:pPr>
      <w:r w:rsidRPr="00164689">
        <w:rPr>
          <w:sz w:val="18"/>
          <w:szCs w:val="18"/>
          <w:vertAlign w:val="superscript"/>
        </w:rPr>
        <w:footnoteRef/>
      </w:r>
      <w:r w:rsidRPr="00164689">
        <w:rPr>
          <w:sz w:val="16"/>
          <w:szCs w:val="16"/>
        </w:rPr>
        <w:t xml:space="preserve"> Od šk</w:t>
      </w:r>
      <w:r>
        <w:rPr>
          <w:sz w:val="16"/>
          <w:szCs w:val="16"/>
        </w:rPr>
        <w:t>olního</w:t>
      </w:r>
      <w:r w:rsidRPr="00164689">
        <w:rPr>
          <w:sz w:val="16"/>
          <w:szCs w:val="16"/>
        </w:rPr>
        <w:t xml:space="preserve"> roku 2019/2020 (od 1. 9. 2019) byl obor Zdravotnický asistent nahrazen oborem Praktická sestra, tzn., že v oboru Zdravotnický asistent se nyní nevzdělávají žádní žáci v 1.</w:t>
      </w:r>
      <w:r>
        <w:rPr>
          <w:sz w:val="16"/>
          <w:szCs w:val="16"/>
        </w:rPr>
        <w:t xml:space="preserve"> a ve 2.</w:t>
      </w:r>
      <w:r w:rsidRPr="00164689">
        <w:rPr>
          <w:sz w:val="16"/>
          <w:szCs w:val="16"/>
        </w:rPr>
        <w:t xml:space="preserve"> ročníku. </w:t>
      </w:r>
      <w:r w:rsidRPr="002C447E">
        <w:rPr>
          <w:sz w:val="16"/>
          <w:szCs w:val="16"/>
        </w:rPr>
        <w:t xml:space="preserve">V oboru Zdravotnický asistent se vzdělává 146 žáků (ve </w:t>
      </w:r>
      <w:smartTag w:uri="urn:schemas-microsoft-com:office:smarttags" w:element="metricconverter">
        <w:smartTagPr>
          <w:attr w:name="ProductID" w:val="3. a"/>
        </w:smartTagPr>
        <w:r w:rsidRPr="002C447E">
          <w:rPr>
            <w:sz w:val="16"/>
            <w:szCs w:val="16"/>
          </w:rPr>
          <w:t>3. a</w:t>
        </w:r>
      </w:smartTag>
      <w:r w:rsidRPr="002C447E">
        <w:rPr>
          <w:sz w:val="16"/>
          <w:szCs w:val="16"/>
        </w:rPr>
        <w:t xml:space="preserve"> 4. ročníku), v oboru Praktická sestra 150 žáků (v </w:t>
      </w:r>
      <w:smartTag w:uri="urn:schemas-microsoft-com:office:smarttags" w:element="metricconverter">
        <w:smartTagPr>
          <w:attr w:name="ProductID" w:val="1. a"/>
        </w:smartTagPr>
        <w:r w:rsidRPr="002C447E">
          <w:rPr>
            <w:sz w:val="16"/>
            <w:szCs w:val="16"/>
          </w:rPr>
          <w:t>1. a</w:t>
        </w:r>
      </w:smartTag>
      <w:r w:rsidRPr="002C447E">
        <w:rPr>
          <w:sz w:val="16"/>
          <w:szCs w:val="16"/>
        </w:rPr>
        <w:t xml:space="preserve"> 2. ročníku).</w:t>
      </w:r>
      <w:r w:rsidRPr="00164689">
        <w:rPr>
          <w:sz w:val="16"/>
          <w:szCs w:val="16"/>
        </w:rPr>
        <w:t xml:space="preserve"> (stav k 30. 9. 20</w:t>
      </w:r>
      <w:r>
        <w:rPr>
          <w:sz w:val="16"/>
          <w:szCs w:val="16"/>
        </w:rPr>
        <w:t>20</w:t>
      </w:r>
      <w:r w:rsidRPr="00164689">
        <w:rPr>
          <w:sz w:val="16"/>
          <w:szCs w:val="16"/>
        </w:rPr>
        <w:t>).</w:t>
      </w:r>
    </w:p>
    <w:p w:rsidR="00F84F32" w:rsidRDefault="00F84F32" w:rsidP="00164689">
      <w:pPr>
        <w:ind w:firstLine="0"/>
      </w:pPr>
    </w:p>
  </w:footnote>
  <w:footnote w:id="5">
    <w:p w:rsidR="00F84F32" w:rsidRDefault="00F84F32" w:rsidP="001D1CE9">
      <w:pPr>
        <w:pStyle w:val="Textpoznpodarou"/>
        <w:ind w:firstLine="0"/>
      </w:pPr>
      <w:r>
        <w:rPr>
          <w:rStyle w:val="Znakapoznpodarou"/>
        </w:rPr>
        <w:footnoteRef/>
      </w:r>
      <w:r>
        <w:t xml:space="preserve"> </w:t>
      </w:r>
      <w:r w:rsidRPr="001D1CE9">
        <w:rPr>
          <w:sz w:val="16"/>
          <w:szCs w:val="16"/>
        </w:rPr>
        <w:t>Ovlivnění tohoto indikátoru není v kompetenci SMOl.</w:t>
      </w:r>
    </w:p>
  </w:footnote>
  <w:footnote w:id="6">
    <w:p w:rsidR="00F84F32" w:rsidRDefault="00F84F32" w:rsidP="00971730">
      <w:pPr>
        <w:pStyle w:val="Textpoznpodarou"/>
        <w:ind w:firstLine="0"/>
      </w:pPr>
      <w:r>
        <w:rPr>
          <w:rStyle w:val="Znakapoznpodarou"/>
        </w:rPr>
        <w:footnoteRef/>
      </w:r>
      <w:r>
        <w:t xml:space="preserve"> </w:t>
      </w:r>
      <w:r w:rsidRPr="00971730">
        <w:rPr>
          <w:sz w:val="16"/>
          <w:szCs w:val="16"/>
        </w:rPr>
        <w:t>Indikátor byl negativně ovlivněn vlivem pandemie Covid-19.</w:t>
      </w:r>
    </w:p>
  </w:footnote>
  <w:footnote w:id="7">
    <w:p w:rsidR="00F84F32" w:rsidRDefault="00F84F32" w:rsidP="00D15772">
      <w:pPr>
        <w:ind w:firstLine="0"/>
      </w:pPr>
      <w:r w:rsidRPr="00164689">
        <w:rPr>
          <w:rStyle w:val="Znakapoznpodarou"/>
          <w:sz w:val="18"/>
          <w:szCs w:val="18"/>
        </w:rPr>
        <w:footnoteRef/>
      </w:r>
      <w:r w:rsidRPr="00164689">
        <w:rPr>
          <w:sz w:val="16"/>
          <w:szCs w:val="16"/>
        </w:rPr>
        <w:t xml:space="preserve"> A/ tělocvičny při ZŠ, B/ sport. areály při ZŠ, C/ velká sportoviště (aquapark, zimní stadion, plavecký stadion), D/ Moravské divadlo, Moravská filharmonie</w:t>
      </w:r>
    </w:p>
  </w:footnote>
  <w:footnote w:id="8">
    <w:p w:rsidR="00F84F32" w:rsidRDefault="00F84F32" w:rsidP="00971730">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9">
    <w:p w:rsidR="00F84F32" w:rsidRDefault="00F84F32" w:rsidP="00D15772">
      <w:pPr>
        <w:ind w:firstLine="0"/>
      </w:pPr>
      <w:r w:rsidRPr="00164689">
        <w:rPr>
          <w:sz w:val="20"/>
          <w:szCs w:val="20"/>
          <w:vertAlign w:val="superscript"/>
        </w:rPr>
        <w:footnoteRef/>
      </w:r>
      <w:r w:rsidRPr="00164689">
        <w:rPr>
          <w:sz w:val="20"/>
          <w:szCs w:val="20"/>
        </w:rPr>
        <w:t xml:space="preserve"> </w:t>
      </w:r>
      <w:r w:rsidRPr="00D201BD">
        <w:rPr>
          <w:sz w:val="16"/>
          <w:szCs w:val="16"/>
        </w:rPr>
        <w:t xml:space="preserve">Povolený legislativní limit je 35 překročení za rok. </w:t>
      </w:r>
    </w:p>
  </w:footnote>
  <w:footnote w:id="10">
    <w:p w:rsidR="00F84F32" w:rsidRDefault="00F84F32" w:rsidP="00140798">
      <w:pPr>
        <w:ind w:firstLine="0"/>
      </w:pPr>
      <w:r w:rsidRPr="00140798">
        <w:rPr>
          <w:rStyle w:val="Znakapoznpodarou"/>
          <w:sz w:val="18"/>
          <w:szCs w:val="18"/>
        </w:rPr>
        <w:footnoteRef/>
      </w:r>
      <w:r>
        <w:t xml:space="preserve"> </w:t>
      </w:r>
      <w:r>
        <w:rPr>
          <w:sz w:val="16"/>
          <w:szCs w:val="16"/>
        </w:rPr>
        <w:t>Kompletní údaje bude možné stanovit po pořízení energetického managementu města.</w:t>
      </w:r>
    </w:p>
  </w:footnote>
  <w:footnote w:id="11">
    <w:p w:rsidR="00F84F32" w:rsidRDefault="00F84F32" w:rsidP="0071540F">
      <w:pPr>
        <w:ind w:firstLine="0"/>
      </w:pPr>
      <w:r w:rsidRPr="00140798">
        <w:rPr>
          <w:rStyle w:val="Znakapoznpodarou"/>
          <w:sz w:val="18"/>
          <w:szCs w:val="18"/>
        </w:rPr>
        <w:footnoteRef/>
      </w:r>
      <w:r>
        <w:t xml:space="preserve"> </w:t>
      </w:r>
      <w:r>
        <w:rPr>
          <w:sz w:val="16"/>
          <w:szCs w:val="16"/>
        </w:rPr>
        <w:t xml:space="preserve">Hodnocení spokojenosti zaměstnanců je zjišťováno v rámci stávajícího každoročního procesu hodnocení. To je zpracováváno v druhé polovině následujícího roku, z tohoto důvodu budou </w:t>
      </w:r>
      <w:r w:rsidRPr="008C43DA">
        <w:rPr>
          <w:sz w:val="16"/>
          <w:szCs w:val="16"/>
        </w:rPr>
        <w:t>data za rok 2020 dostupná až začátkem roku 2022</w:t>
      </w:r>
      <w:r>
        <w:rPr>
          <w:sz w:val="16"/>
          <w:szCs w:val="16"/>
        </w:rPr>
        <w:t>. Uvedená data jsou za rok 2019.</w:t>
      </w:r>
    </w:p>
  </w:footnote>
  <w:footnote w:id="12">
    <w:p w:rsidR="00F84F32" w:rsidRDefault="00F84F32" w:rsidP="00140798">
      <w:pPr>
        <w:ind w:firstLine="0"/>
        <w:jc w:val="left"/>
      </w:pPr>
      <w:r w:rsidRPr="00140798">
        <w:rPr>
          <w:rStyle w:val="Znakapoznpodarou"/>
          <w:sz w:val="18"/>
          <w:szCs w:val="18"/>
        </w:rPr>
        <w:footnoteRef/>
      </w:r>
      <w:r w:rsidRPr="00955274">
        <w:rPr>
          <w:sz w:val="20"/>
        </w:rPr>
        <w:t xml:space="preserve"> </w:t>
      </w:r>
      <w:r w:rsidRPr="007B1E9E">
        <w:rPr>
          <w:sz w:val="16"/>
          <w:szCs w:val="16"/>
        </w:rPr>
        <w:t>Údaje jsou sledovány</w:t>
      </w:r>
      <w:r>
        <w:rPr>
          <w:sz w:val="20"/>
        </w:rPr>
        <w:t xml:space="preserve"> </w:t>
      </w:r>
      <w:r w:rsidRPr="007B1E9E">
        <w:rPr>
          <w:sz w:val="16"/>
          <w:szCs w:val="16"/>
        </w:rPr>
        <w:t>1x za 2 roky</w:t>
      </w:r>
      <w:r>
        <w:rPr>
          <w:sz w:val="16"/>
          <w:szCs w:val="16"/>
        </w:rPr>
        <w:t>.</w:t>
      </w:r>
      <w:r>
        <w:rPr>
          <w:sz w:val="20"/>
        </w:rPr>
        <w:t>/</w:t>
      </w:r>
      <w:r w:rsidRPr="00955274">
        <w:rPr>
          <w:sz w:val="16"/>
          <w:szCs w:val="16"/>
        </w:rPr>
        <w:t xml:space="preserve">A/ </w:t>
      </w:r>
      <w:r w:rsidRPr="0062066B">
        <w:rPr>
          <w:sz w:val="16"/>
          <w:szCs w:val="16"/>
        </w:rPr>
        <w:t>Klient se setkal s velmi vstřícným a milým přístupem</w:t>
      </w:r>
      <w:r>
        <w:rPr>
          <w:sz w:val="16"/>
          <w:szCs w:val="16"/>
        </w:rPr>
        <w:t xml:space="preserve">, </w:t>
      </w:r>
      <w:r w:rsidRPr="00955274">
        <w:rPr>
          <w:sz w:val="16"/>
          <w:szCs w:val="16"/>
        </w:rPr>
        <w:t xml:space="preserve">B/ </w:t>
      </w:r>
      <w:r w:rsidRPr="0062066B">
        <w:rPr>
          <w:sz w:val="16"/>
          <w:szCs w:val="16"/>
        </w:rPr>
        <w:t>přístup pracovníka byl neosobní, mechanický</w:t>
      </w:r>
      <w:r w:rsidRPr="00955274">
        <w:rPr>
          <w:sz w:val="16"/>
          <w:szCs w:val="16"/>
        </w:rPr>
        <w:t xml:space="preserve">, C/ </w:t>
      </w:r>
      <w:r w:rsidRPr="0062066B">
        <w:rPr>
          <w:sz w:val="16"/>
          <w:szCs w:val="16"/>
        </w:rPr>
        <w:t>Pracovník s klientem jednal arogantně, byl nepříjemný</w:t>
      </w:r>
      <w:r w:rsidRPr="00955274">
        <w:rPr>
          <w:sz w:val="16"/>
          <w:szCs w:val="16"/>
        </w:rPr>
        <w:t xml:space="preserve">, D/ </w:t>
      </w:r>
      <w:r w:rsidRPr="0062066B">
        <w:rPr>
          <w:sz w:val="16"/>
          <w:szCs w:val="16"/>
        </w:rPr>
        <w:t>Klient odcházel s pocitem, že pro něj pracovní</w:t>
      </w:r>
      <w:r>
        <w:rPr>
          <w:sz w:val="16"/>
          <w:szCs w:val="16"/>
        </w:rPr>
        <w:t>k v danou chvíli udělal maximum. V roce 2020 nebyl průzkum z důvodu pandemie Covid-19 realizován.</w:t>
      </w:r>
    </w:p>
  </w:footnote>
  <w:footnote w:id="13">
    <w:p w:rsidR="00F84F32" w:rsidRDefault="00F84F32" w:rsidP="00A56C64">
      <w:pPr>
        <w:pStyle w:val="Textpoznpodarou"/>
        <w:ind w:firstLine="0"/>
      </w:pPr>
      <w:r>
        <w:rPr>
          <w:rStyle w:val="Znakapoznpodarou"/>
        </w:rPr>
        <w:footnoteRef/>
      </w:r>
      <w:r>
        <w:t xml:space="preserve"> </w:t>
      </w:r>
      <w:r w:rsidRPr="003B6E17">
        <w:rPr>
          <w:sz w:val="16"/>
          <w:szCs w:val="16"/>
        </w:rPr>
        <w:t>Indikátor je sledován</w:t>
      </w:r>
      <w:r w:rsidRPr="00A56C64">
        <w:rPr>
          <w:sz w:val="16"/>
          <w:szCs w:val="16"/>
        </w:rPr>
        <w:t xml:space="preserve"> 1x za 3 roky.</w:t>
      </w:r>
    </w:p>
  </w:footnote>
  <w:footnote w:id="14">
    <w:p w:rsidR="00F84F32" w:rsidRDefault="00F84F32" w:rsidP="00D15772">
      <w:pPr>
        <w:ind w:firstLine="0"/>
      </w:pPr>
      <w:r w:rsidRPr="0071540F">
        <w:rPr>
          <w:rStyle w:val="Znakapoznpodarou"/>
          <w:sz w:val="18"/>
          <w:szCs w:val="18"/>
        </w:rPr>
        <w:footnoteRef/>
      </w:r>
      <w:r w:rsidRPr="000B361E">
        <w:rPr>
          <w:sz w:val="16"/>
          <w:szCs w:val="16"/>
        </w:rPr>
        <w:t xml:space="preserve"> Statistika nepřijatých dětí do MŠ podle trvalého bydliště neexistuje, ale dle expertního odhadu hodnota z více než 90 % udává děti s trvalým bydlištěm v Olomouci. </w:t>
      </w:r>
    </w:p>
  </w:footnote>
  <w:footnote w:id="15">
    <w:p w:rsidR="00F84F32" w:rsidRDefault="00F84F32" w:rsidP="005659CB">
      <w:pPr>
        <w:pStyle w:val="Textpoznpodarou"/>
        <w:ind w:firstLine="0"/>
      </w:pPr>
    </w:p>
    <w:p w:rsidR="00F84F32" w:rsidRDefault="00F84F32" w:rsidP="005659CB">
      <w:pPr>
        <w:pStyle w:val="Textpoznpodarou"/>
        <w:ind w:firstLine="0"/>
      </w:pPr>
      <w:r>
        <w:rPr>
          <w:rStyle w:val="Znakapoznpodarou"/>
        </w:rPr>
        <w:footnoteRef/>
      </w:r>
      <w:r>
        <w:t xml:space="preserve"> </w:t>
      </w:r>
      <w:r w:rsidRPr="001D1CE9">
        <w:rPr>
          <w:sz w:val="16"/>
          <w:szCs w:val="16"/>
        </w:rPr>
        <w:t>Ovlivnění tohoto indikátoru není v kompetenci SMOl.</w:t>
      </w:r>
    </w:p>
  </w:footnote>
  <w:footnote w:id="16">
    <w:p w:rsidR="00F84F32" w:rsidRDefault="00F84F32" w:rsidP="005659CB">
      <w:pPr>
        <w:pStyle w:val="Textpoznpodarou"/>
        <w:ind w:firstLine="0"/>
      </w:pPr>
      <w:r>
        <w:rPr>
          <w:rStyle w:val="Znakapoznpodarou"/>
        </w:rPr>
        <w:footnoteRef/>
      </w:r>
      <w:r>
        <w:t xml:space="preserve"> </w:t>
      </w:r>
      <w:r w:rsidRPr="001D1CE9">
        <w:rPr>
          <w:sz w:val="16"/>
          <w:szCs w:val="16"/>
        </w:rPr>
        <w:t>Ovlivnění tohoto indikátoru není v kompetenci SMOl.</w:t>
      </w:r>
    </w:p>
  </w:footnote>
  <w:footnote w:id="17">
    <w:p w:rsidR="00F84F32" w:rsidRDefault="00F84F32" w:rsidP="0044403A">
      <w:pPr>
        <w:ind w:firstLine="0"/>
      </w:pPr>
      <w:r w:rsidRPr="005D7871">
        <w:rPr>
          <w:rStyle w:val="Znakapoznpodarou"/>
          <w:sz w:val="16"/>
          <w:szCs w:val="16"/>
        </w:rPr>
        <w:footnoteRef/>
      </w:r>
      <w:r>
        <w:t xml:space="preserve"> </w:t>
      </w:r>
      <w:r w:rsidRPr="005D7871">
        <w:rPr>
          <w:sz w:val="16"/>
          <w:szCs w:val="16"/>
        </w:rPr>
        <w:t>Měkká infrastruktura = organizace, asociace, klastry a podnikatelské či oborové svazy disponující odbornými pracovníky s potřebnými znalostmi, dovednostmi a kontakty, se správně nastavenými procesy a dostatečným, ale i kontinuálně zabezpečeným financováním. Příkladem mohou být vědeckotechnické parky a inkubátory, inovační centra, klastrové organizace, hospodářské komory atd.</w:t>
      </w:r>
    </w:p>
  </w:footnote>
  <w:footnote w:id="18">
    <w:p w:rsidR="00F84F32" w:rsidRDefault="00F84F32" w:rsidP="005659CB">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19">
    <w:p w:rsidR="00F84F32" w:rsidRDefault="00F84F32" w:rsidP="005659CB">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0">
    <w:p w:rsidR="00F84F32" w:rsidRDefault="00F84F32" w:rsidP="005659CB">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1">
    <w:p w:rsidR="00F84F32" w:rsidRDefault="00F84F32" w:rsidP="000576A4">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2">
    <w:p w:rsidR="00F84F32" w:rsidRDefault="00F84F32" w:rsidP="005659CB">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3">
    <w:p w:rsidR="00F84F32" w:rsidRDefault="00F84F32" w:rsidP="00D15772">
      <w:pPr>
        <w:ind w:firstLine="0"/>
      </w:pPr>
      <w:r>
        <w:rPr>
          <w:rStyle w:val="Znakapoznpodarou"/>
        </w:rPr>
        <w:footnoteRef/>
      </w:r>
      <w:r>
        <w:t xml:space="preserve"> </w:t>
      </w:r>
      <w:r>
        <w:rPr>
          <w:sz w:val="16"/>
          <w:szCs w:val="16"/>
        </w:rPr>
        <w:t>A/ tělocvičny při ZŠ, B/ sport. areály při ZŠ, C/ velká sportoviště (aquapark, zimní stadion, plavecký stadion), D/ Moravské divadlo, Moravská filharmonie</w:t>
      </w:r>
    </w:p>
  </w:footnote>
  <w:footnote w:id="24">
    <w:p w:rsidR="00F84F32" w:rsidRDefault="00F84F32" w:rsidP="005659CB">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5">
    <w:p w:rsidR="00F84F32" w:rsidRDefault="00F84F32" w:rsidP="005659CB">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6">
    <w:p w:rsidR="00F84F32" w:rsidRDefault="00F84F32" w:rsidP="003B6E17">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7">
    <w:p w:rsidR="00F84F32" w:rsidRDefault="00F84F32" w:rsidP="003B6E17">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8">
    <w:p w:rsidR="00F84F32" w:rsidRDefault="00F84F32" w:rsidP="00A56C64">
      <w:pPr>
        <w:pStyle w:val="Textpoznpodarou"/>
        <w:ind w:firstLine="0"/>
      </w:pPr>
      <w:r>
        <w:rPr>
          <w:rStyle w:val="Znakapoznpodarou"/>
        </w:rPr>
        <w:footnoteRef/>
      </w:r>
      <w:r>
        <w:t xml:space="preserve"> </w:t>
      </w:r>
      <w:r w:rsidRPr="00971730">
        <w:rPr>
          <w:sz w:val="16"/>
          <w:szCs w:val="16"/>
        </w:rPr>
        <w:t>Indikátor byl negativně ovlivněn vlivem pandemie Covid-19</w:t>
      </w:r>
      <w:r>
        <w:rPr>
          <w:sz w:val="16"/>
          <w:szCs w:val="16"/>
        </w:rPr>
        <w:t>.</w:t>
      </w:r>
    </w:p>
  </w:footnote>
  <w:footnote w:id="29">
    <w:p w:rsidR="00F84F32" w:rsidRDefault="00F84F32" w:rsidP="00D15772">
      <w:pPr>
        <w:ind w:firstLine="0"/>
      </w:pPr>
      <w:r w:rsidRPr="00B73559">
        <w:rPr>
          <w:vertAlign w:val="superscript"/>
        </w:rPr>
        <w:footnoteRef/>
      </w:r>
      <w:r w:rsidRPr="00B73559">
        <w:t xml:space="preserve"> </w:t>
      </w:r>
      <w:r w:rsidRPr="00B73559">
        <w:rPr>
          <w:sz w:val="16"/>
          <w:szCs w:val="16"/>
        </w:rPr>
        <w:t>Povolený legislativní limit je 35 překročení za rok.</w:t>
      </w:r>
      <w:r>
        <w:rPr>
          <w:sz w:val="16"/>
          <w:szCs w:val="16"/>
        </w:rPr>
        <w:t xml:space="preserve"> </w:t>
      </w:r>
    </w:p>
  </w:footnote>
  <w:footnote w:id="30">
    <w:p w:rsidR="00F84F32" w:rsidRDefault="00F84F32" w:rsidP="00D15772">
      <w:pPr>
        <w:ind w:firstLine="0"/>
      </w:pPr>
      <w:r>
        <w:rPr>
          <w:rStyle w:val="Znakapoznpodarou"/>
        </w:rPr>
        <w:footnoteRef/>
      </w:r>
      <w:r>
        <w:t xml:space="preserve"> </w:t>
      </w:r>
      <w:r>
        <w:rPr>
          <w:sz w:val="16"/>
          <w:szCs w:val="16"/>
        </w:rPr>
        <w:t>Údaje bude možné stanovit po pořízení energetického managementu města</w:t>
      </w:r>
    </w:p>
  </w:footnote>
  <w:footnote w:id="31">
    <w:p w:rsidR="00F84F32" w:rsidRDefault="00F84F32" w:rsidP="00D15772">
      <w:pPr>
        <w:ind w:firstLine="0"/>
      </w:pPr>
      <w:r>
        <w:rPr>
          <w:rStyle w:val="Znakapoznpodarou"/>
        </w:rPr>
        <w:footnoteRef/>
      </w:r>
      <w:r>
        <w:t xml:space="preserve"> </w:t>
      </w:r>
      <w:r>
        <w:rPr>
          <w:sz w:val="16"/>
          <w:szCs w:val="16"/>
        </w:rPr>
        <w:t>Hodnocení spokojenosti zaměstnanců je zjišťováno v rámci stávajícího každoročního procesu hodnocení. To je zpracováváno v druhé polovině následujícího roku, z tohoto důvodu budou data za rok 2020 dostupná až začátkem roku 2022.</w:t>
      </w:r>
      <w:r w:rsidRPr="00244435">
        <w:rPr>
          <w:sz w:val="16"/>
          <w:szCs w:val="16"/>
        </w:rPr>
        <w:t xml:space="preserve"> </w:t>
      </w:r>
      <w:r>
        <w:rPr>
          <w:sz w:val="16"/>
          <w:szCs w:val="16"/>
        </w:rPr>
        <w:t>Uvedená data jsou za rok 2019.</w:t>
      </w:r>
    </w:p>
  </w:footnote>
  <w:footnote w:id="32">
    <w:p w:rsidR="00F84F32" w:rsidRDefault="00F84F32" w:rsidP="00D15772">
      <w:pPr>
        <w:ind w:firstLine="0"/>
        <w:jc w:val="left"/>
      </w:pPr>
      <w:r w:rsidRPr="00955274">
        <w:rPr>
          <w:rStyle w:val="Znakapoznpodarou"/>
          <w:sz w:val="20"/>
        </w:rPr>
        <w:footnoteRef/>
      </w:r>
      <w:r w:rsidRPr="00955274">
        <w:rPr>
          <w:sz w:val="20"/>
        </w:rPr>
        <w:t xml:space="preserve"> </w:t>
      </w:r>
      <w:r w:rsidRPr="007B1E9E">
        <w:rPr>
          <w:sz w:val="16"/>
          <w:szCs w:val="16"/>
        </w:rPr>
        <w:t>Údaje jsou sledovány</w:t>
      </w:r>
      <w:r>
        <w:rPr>
          <w:sz w:val="20"/>
        </w:rPr>
        <w:t xml:space="preserve"> </w:t>
      </w:r>
      <w:r w:rsidRPr="007B1E9E">
        <w:rPr>
          <w:sz w:val="16"/>
          <w:szCs w:val="16"/>
        </w:rPr>
        <w:t>1x za 2 roky</w:t>
      </w:r>
      <w:r>
        <w:rPr>
          <w:sz w:val="16"/>
          <w:szCs w:val="16"/>
        </w:rPr>
        <w:t>.</w:t>
      </w:r>
      <w:r>
        <w:rPr>
          <w:sz w:val="20"/>
        </w:rPr>
        <w:t>/</w:t>
      </w:r>
      <w:r w:rsidRPr="00955274">
        <w:rPr>
          <w:sz w:val="16"/>
          <w:szCs w:val="16"/>
        </w:rPr>
        <w:t xml:space="preserve">A/ </w:t>
      </w:r>
      <w:r w:rsidRPr="0062066B">
        <w:rPr>
          <w:sz w:val="16"/>
          <w:szCs w:val="16"/>
        </w:rPr>
        <w:t>Klient se setkal s velmi vstřícným a milým přístupem</w:t>
      </w:r>
      <w:r>
        <w:rPr>
          <w:sz w:val="16"/>
          <w:szCs w:val="16"/>
        </w:rPr>
        <w:t xml:space="preserve">, </w:t>
      </w:r>
      <w:r w:rsidRPr="00955274">
        <w:rPr>
          <w:sz w:val="16"/>
          <w:szCs w:val="16"/>
        </w:rPr>
        <w:t xml:space="preserve">B/ </w:t>
      </w:r>
      <w:r w:rsidRPr="0062066B">
        <w:rPr>
          <w:sz w:val="16"/>
          <w:szCs w:val="16"/>
        </w:rPr>
        <w:t>přístup pracovníka byl neosobní, mechanický</w:t>
      </w:r>
      <w:r w:rsidRPr="00955274">
        <w:rPr>
          <w:sz w:val="16"/>
          <w:szCs w:val="16"/>
        </w:rPr>
        <w:t xml:space="preserve">, C/ </w:t>
      </w:r>
      <w:r w:rsidRPr="0062066B">
        <w:rPr>
          <w:sz w:val="16"/>
          <w:szCs w:val="16"/>
        </w:rPr>
        <w:t>Pracovník s klientem jednal arogantně, byl nepříjemný</w:t>
      </w:r>
      <w:r w:rsidRPr="00955274">
        <w:rPr>
          <w:sz w:val="16"/>
          <w:szCs w:val="16"/>
        </w:rPr>
        <w:t xml:space="preserve">, D/ </w:t>
      </w:r>
      <w:r w:rsidRPr="0062066B">
        <w:rPr>
          <w:sz w:val="16"/>
          <w:szCs w:val="16"/>
        </w:rPr>
        <w:t>Klient odcházel s pocitem, že pro něj pracovní</w:t>
      </w:r>
      <w:r>
        <w:rPr>
          <w:sz w:val="16"/>
          <w:szCs w:val="16"/>
        </w:rPr>
        <w:t>k v danou chvíli udělal maximum. V roce 2020 nebyl průzkum z důvodu pandemie Covid-19 realizován.</w:t>
      </w:r>
    </w:p>
  </w:footnote>
  <w:footnote w:id="33">
    <w:p w:rsidR="00F84F32" w:rsidRDefault="00F84F32" w:rsidP="003B6E17">
      <w:pPr>
        <w:pStyle w:val="Textpoznpodarou"/>
        <w:ind w:firstLine="0"/>
      </w:pPr>
      <w:r>
        <w:rPr>
          <w:rStyle w:val="Znakapoznpodarou"/>
        </w:rPr>
        <w:footnoteRef/>
      </w:r>
      <w:r>
        <w:t xml:space="preserve"> </w:t>
      </w:r>
      <w:r w:rsidRPr="003B6E17">
        <w:rPr>
          <w:sz w:val="16"/>
          <w:szCs w:val="16"/>
        </w:rPr>
        <w:t>Indikátor je sledován</w:t>
      </w:r>
      <w:r w:rsidRPr="00A56C64">
        <w:rPr>
          <w:sz w:val="16"/>
          <w:szCs w:val="16"/>
        </w:rPr>
        <w:t xml:space="preserve"> 1x za 3 roky.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F32" w:rsidRPr="002B7078" w:rsidRDefault="00F84F32" w:rsidP="00E80C4F">
    <w:pPr>
      <w:pStyle w:val="Zhlav"/>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F32" w:rsidRDefault="00F84F32" w:rsidP="00E80C4F">
    <w:pPr>
      <w:pStyle w:val="Zhlav"/>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F32" w:rsidRPr="00D20A1E" w:rsidRDefault="00F84F32" w:rsidP="00E80C4F">
    <w:pPr>
      <w:pStyle w:val="Zhlav"/>
      <w:pBdr>
        <w:top w:val="single" w:sz="4" w:space="1" w:color="auto"/>
        <w:left w:val="single" w:sz="4" w:space="4" w:color="auto"/>
        <w:bottom w:val="single" w:sz="4" w:space="1" w:color="auto"/>
        <w:right w:val="single" w:sz="4" w:space="4" w:color="auto"/>
      </w:pBdr>
      <w:tabs>
        <w:tab w:val="clear" w:pos="4536"/>
        <w:tab w:val="clear" w:pos="9072"/>
        <w:tab w:val="left" w:pos="6764"/>
        <w:tab w:val="center" w:pos="8640"/>
      </w:tabs>
      <w:ind w:firstLine="0"/>
      <w:rPr>
        <w:sz w:val="22"/>
        <w:szCs w:val="22"/>
      </w:rPr>
    </w:pPr>
    <w:r>
      <w:rPr>
        <w:sz w:val="22"/>
        <w:szCs w:val="22"/>
      </w:rPr>
      <w:t>Statutární město Olomouc</w:t>
    </w:r>
    <w:r w:rsidRPr="00D20A1E">
      <w:rPr>
        <w:sz w:val="22"/>
        <w:szCs w:val="22"/>
      </w:rPr>
      <w:t xml:space="preserve"> </w:t>
    </w:r>
    <w:r>
      <w:rPr>
        <w:sz w:val="22"/>
        <w:szCs w:val="22"/>
      </w:rPr>
      <w:t xml:space="preserve">                                                               </w:t>
    </w:r>
    <w:r w:rsidRPr="00840CFC">
      <w:rPr>
        <w:sz w:val="22"/>
        <w:szCs w:val="22"/>
      </w:rPr>
      <w:t xml:space="preserve">Zpráva o naplňování </w:t>
    </w:r>
    <w:r>
      <w:rPr>
        <w:sz w:val="22"/>
        <w:szCs w:val="22"/>
      </w:rPr>
      <w:t xml:space="preserve">SP za rok 2020 </w:t>
    </w:r>
  </w:p>
  <w:p w:rsidR="00F84F32" w:rsidRPr="002F3DAB" w:rsidRDefault="00F84F32" w:rsidP="00E80C4F">
    <w:pPr>
      <w:pStyle w:val="Zhlav"/>
      <w:pBdr>
        <w:top w:val="single" w:sz="4" w:space="1" w:color="auto"/>
        <w:left w:val="single" w:sz="4" w:space="4" w:color="auto"/>
        <w:bottom w:val="single" w:sz="4" w:space="1" w:color="auto"/>
        <w:right w:val="single" w:sz="4" w:space="4" w:color="auto"/>
      </w:pBdr>
      <w:tabs>
        <w:tab w:val="left" w:pos="720"/>
      </w:tabs>
      <w:ind w:firstLine="0"/>
      <w:rPr>
        <w:sz w:val="22"/>
        <w:szCs w:val="22"/>
      </w:rPr>
    </w:pPr>
    <w:r w:rsidRPr="002F3DAB">
      <w:rPr>
        <w:sz w:val="22"/>
        <w:szCs w:val="22"/>
      </w:rPr>
      <w:t>Strategický plán rozvoje města Olomouce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ACE834"/>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E00CE730"/>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0298C95E"/>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8B920A4E"/>
    <w:lvl w:ilvl="0">
      <w:start w:val="1"/>
      <w:numFmt w:val="decimal"/>
      <w:pStyle w:val="slovanseznam2"/>
      <w:lvlText w:val="%1."/>
      <w:lvlJc w:val="left"/>
      <w:pPr>
        <w:tabs>
          <w:tab w:val="num" w:pos="643"/>
        </w:tabs>
        <w:ind w:left="643" w:hanging="360"/>
      </w:pPr>
      <w:rPr>
        <w:rFonts w:cs="Times New Roman"/>
      </w:rPr>
    </w:lvl>
  </w:abstractNum>
  <w:abstractNum w:abstractNumId="4">
    <w:nsid w:val="FFFFFF80"/>
    <w:multiLevelType w:val="singleLevel"/>
    <w:tmpl w:val="442CA2D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F0E883D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1DA22650"/>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5588C1F8"/>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20325E1A"/>
    <w:lvl w:ilvl="0">
      <w:start w:val="1"/>
      <w:numFmt w:val="decimal"/>
      <w:pStyle w:val="slovanseznam"/>
      <w:lvlText w:val="%1."/>
      <w:lvlJc w:val="left"/>
      <w:pPr>
        <w:tabs>
          <w:tab w:val="num" w:pos="360"/>
        </w:tabs>
        <w:ind w:left="360" w:hanging="360"/>
      </w:pPr>
      <w:rPr>
        <w:rFonts w:cs="Times New Roman"/>
      </w:rPr>
    </w:lvl>
  </w:abstractNum>
  <w:abstractNum w:abstractNumId="9">
    <w:nsid w:val="FFFFFF89"/>
    <w:multiLevelType w:val="singleLevel"/>
    <w:tmpl w:val="9BB02A28"/>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DBD50EF"/>
    <w:multiLevelType w:val="hybridMultilevel"/>
    <w:tmpl w:val="6020318A"/>
    <w:lvl w:ilvl="0" w:tplc="457277D0">
      <w:start w:val="1"/>
      <w:numFmt w:val="bullet"/>
      <w:pStyle w:val="Odrkysita"/>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0B63DCB"/>
    <w:multiLevelType w:val="multilevel"/>
    <w:tmpl w:val="04050023"/>
    <w:styleLink w:val="lnekoddl61"/>
    <w:lvl w:ilvl="0">
      <w:start w:val="1"/>
      <w:numFmt w:val="upperRoman"/>
      <w:lvlText w:val="Článek %1."/>
      <w:lvlJc w:val="left"/>
      <w:pPr>
        <w:tabs>
          <w:tab w:val="num" w:pos="1440"/>
        </w:tabs>
      </w:pPr>
      <w:rPr>
        <w:rFonts w:cs="Times New Roman"/>
      </w:rPr>
    </w:lvl>
    <w:lvl w:ilvl="1">
      <w:start w:val="1"/>
      <w:numFmt w:val="decimalZero"/>
      <w:isLgl/>
      <w:lvlText w:val="Oddíl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11EC4959"/>
    <w:multiLevelType w:val="hybridMultilevel"/>
    <w:tmpl w:val="1F1236C0"/>
    <w:lvl w:ilvl="0" w:tplc="FFFFFFFF">
      <w:start w:val="1"/>
      <w:numFmt w:val="bullet"/>
      <w:pStyle w:val="Vet-znaka"/>
      <w:lvlText w:val=""/>
      <w:lvlJc w:val="left"/>
      <w:pPr>
        <w:tabs>
          <w:tab w:val="num" w:pos="851"/>
        </w:tabs>
        <w:ind w:left="851" w:hanging="511"/>
      </w:pPr>
      <w:rPr>
        <w:rFonts w:ascii="Business&amp;Government" w:hAnsi="Business&amp;Government"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7763297"/>
    <w:multiLevelType w:val="hybridMultilevel"/>
    <w:tmpl w:val="312A8F82"/>
    <w:lvl w:ilvl="0" w:tplc="04050001">
      <w:start w:val="1"/>
      <w:numFmt w:val="bullet"/>
      <w:lvlText w:val=""/>
      <w:lvlJc w:val="left"/>
      <w:pPr>
        <w:ind w:left="720" w:hanging="360"/>
      </w:pPr>
      <w:rPr>
        <w:rFonts w:ascii="Symbol" w:hAnsi="Symbol" w:hint="default"/>
      </w:rPr>
    </w:lvl>
    <w:lvl w:ilvl="1" w:tplc="A1E2C3D0">
      <w:start w:val="5"/>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6245F80"/>
    <w:multiLevelType w:val="multilevel"/>
    <w:tmpl w:val="7486C974"/>
    <w:lvl w:ilvl="0">
      <w:start w:val="1"/>
      <w:numFmt w:val="upperRoman"/>
      <w:lvlText w:val="%1."/>
      <w:lvlJc w:val="left"/>
      <w:pPr>
        <w:tabs>
          <w:tab w:val="num" w:pos="766"/>
        </w:tabs>
        <w:ind w:left="574" w:hanging="432"/>
      </w:pPr>
      <w:rPr>
        <w:rFonts w:cs="Times New Roman" w:hint="default"/>
        <w:sz w:val="26"/>
        <w:szCs w:val="26"/>
      </w:rPr>
    </w:lvl>
    <w:lvl w:ilvl="1">
      <w:start w:val="1"/>
      <w:numFmt w:val="decimal"/>
      <w:suff w:val="space"/>
      <w:lvlText w:val="%1.%2"/>
      <w:lvlJc w:val="left"/>
      <w:pPr>
        <w:ind w:left="718" w:hanging="576"/>
      </w:pPr>
      <w:rPr>
        <w:rFonts w:ascii="Calibri" w:hAnsi="Calibri" w:cs="Times New Roman" w:hint="default"/>
        <w:b/>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1006"/>
        </w:tabs>
        <w:ind w:left="1006" w:hanging="864"/>
      </w:pPr>
      <w:rPr>
        <w:rFonts w:cs="Times New Roman" w:hint="default"/>
      </w:rPr>
    </w:lvl>
    <w:lvl w:ilvl="4">
      <w:start w:val="1"/>
      <w:numFmt w:val="decimal"/>
      <w:lvlText w:val="%1.%2.%3.%4.%5"/>
      <w:lvlJc w:val="left"/>
      <w:pPr>
        <w:tabs>
          <w:tab w:val="num" w:pos="1150"/>
        </w:tabs>
        <w:ind w:left="1150" w:hanging="1008"/>
      </w:pPr>
      <w:rPr>
        <w:rFonts w:cs="Times New Roman" w:hint="default"/>
      </w:rPr>
    </w:lvl>
    <w:lvl w:ilvl="5">
      <w:start w:val="1"/>
      <w:numFmt w:val="decimal"/>
      <w:lvlText w:val="%1.%2.%3.%4.%5.%6"/>
      <w:lvlJc w:val="left"/>
      <w:pPr>
        <w:tabs>
          <w:tab w:val="num" w:pos="1294"/>
        </w:tabs>
        <w:ind w:left="1294" w:hanging="1152"/>
      </w:pPr>
      <w:rPr>
        <w:rFonts w:cs="Times New Roman" w:hint="default"/>
      </w:rPr>
    </w:lvl>
    <w:lvl w:ilvl="6">
      <w:start w:val="1"/>
      <w:numFmt w:val="decimal"/>
      <w:lvlText w:val="%1.%2.%3.%4.%5.%6.%7"/>
      <w:lvlJc w:val="left"/>
      <w:pPr>
        <w:tabs>
          <w:tab w:val="num" w:pos="1438"/>
        </w:tabs>
        <w:ind w:left="1438" w:hanging="1296"/>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726"/>
        </w:tabs>
        <w:ind w:left="1726" w:hanging="1584"/>
      </w:pPr>
      <w:rPr>
        <w:rFonts w:cs="Times New Roman" w:hint="default"/>
      </w:rPr>
    </w:lvl>
  </w:abstractNum>
  <w:abstractNum w:abstractNumId="15">
    <w:nsid w:val="4F483459"/>
    <w:multiLevelType w:val="multilevel"/>
    <w:tmpl w:val="DAF47894"/>
    <w:lvl w:ilvl="0">
      <w:start w:val="1"/>
      <w:numFmt w:val="bullet"/>
      <w:pStyle w:val="z-Konecformu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6F2ED2"/>
    <w:multiLevelType w:val="multilevel"/>
    <w:tmpl w:val="521A48DA"/>
    <w:lvl w:ilvl="0">
      <w:start w:val="1"/>
      <w:numFmt w:val="decimal"/>
      <w:pStyle w:val="StylNadpis1Ped0bZa0b"/>
      <w:lvlText w:val="%1."/>
      <w:lvlJc w:val="left"/>
      <w:pPr>
        <w:tabs>
          <w:tab w:val="num" w:pos="-507"/>
        </w:tabs>
        <w:ind w:left="-507" w:hanging="573"/>
      </w:pPr>
      <w:rPr>
        <w:rFonts w:cs="Times New Roman" w:hint="default"/>
      </w:rPr>
    </w:lvl>
    <w:lvl w:ilvl="1">
      <w:start w:val="1"/>
      <w:numFmt w:val="decimal"/>
      <w:pStyle w:val="StylNadpis2Ped0bZa0b"/>
      <w:lvlText w:val="%1.%2"/>
      <w:lvlJc w:val="left"/>
      <w:pPr>
        <w:tabs>
          <w:tab w:val="num" w:pos="-506"/>
        </w:tabs>
        <w:ind w:left="-506" w:hanging="574"/>
      </w:pPr>
      <w:rPr>
        <w:rFonts w:cs="Times New Roman" w:hint="default"/>
      </w:rPr>
    </w:lvl>
    <w:lvl w:ilvl="2">
      <w:start w:val="1"/>
      <w:numFmt w:val="decimal"/>
      <w:pStyle w:val="Nadpis3"/>
      <w:lvlText w:val="%1.%2.%3"/>
      <w:lvlJc w:val="left"/>
      <w:pPr>
        <w:tabs>
          <w:tab w:val="num" w:pos="213"/>
        </w:tabs>
        <w:ind w:left="213" w:hanging="573"/>
      </w:pPr>
      <w:rPr>
        <w:rFonts w:cs="Times New Roman" w:hint="default"/>
      </w:rPr>
    </w:lvl>
    <w:lvl w:ilvl="3">
      <w:start w:val="1"/>
      <w:numFmt w:val="decimal"/>
      <w:pStyle w:val="Nadpis4"/>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7">
    <w:nsid w:val="69F07251"/>
    <w:multiLevelType w:val="hybridMultilevel"/>
    <w:tmpl w:val="EA62313C"/>
    <w:lvl w:ilvl="0" w:tplc="F2069B3C">
      <w:start w:val="14"/>
      <w:numFmt w:val="bullet"/>
      <w:lvlText w:val="-"/>
      <w:lvlJc w:val="left"/>
      <w:pPr>
        <w:ind w:left="720" w:hanging="360"/>
      </w:pPr>
      <w:rPr>
        <w:rFonts w:ascii="Times New Roman" w:eastAsia="MS Mincho"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CC46E5F"/>
    <w:multiLevelType w:val="hybridMultilevel"/>
    <w:tmpl w:val="1D06C9D8"/>
    <w:lvl w:ilvl="0" w:tplc="04050005">
      <w:start w:val="1"/>
      <w:numFmt w:val="decimal"/>
      <w:pStyle w:val="Mjslovn"/>
      <w:lvlText w:val="%1."/>
      <w:lvlJc w:val="left"/>
      <w:pPr>
        <w:tabs>
          <w:tab w:val="num" w:pos="1287"/>
        </w:tabs>
        <w:ind w:left="1287" w:hanging="360"/>
      </w:pPr>
      <w:rPr>
        <w:rFonts w:cs="Times New Roman" w:hint="default"/>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nsid w:val="70EE28C8"/>
    <w:multiLevelType w:val="hybridMultilevel"/>
    <w:tmpl w:val="AD18F5EA"/>
    <w:lvl w:ilvl="0" w:tplc="04050005">
      <w:start w:val="1"/>
      <w:numFmt w:val="bullet"/>
      <w:pStyle w:val="Odr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0">
    <w:nsid w:val="7CF35B8A"/>
    <w:multiLevelType w:val="hybridMultilevel"/>
    <w:tmpl w:val="25266498"/>
    <w:lvl w:ilvl="0" w:tplc="04050001">
      <w:start w:val="1"/>
      <w:numFmt w:val="bullet"/>
      <w:lvlText w:val=""/>
      <w:lvlJc w:val="left"/>
      <w:pPr>
        <w:ind w:left="720" w:hanging="360"/>
      </w:pPr>
      <w:rPr>
        <w:rFonts w:ascii="Symbol" w:hAnsi="Symbol" w:hint="default"/>
      </w:rPr>
    </w:lvl>
    <w:lvl w:ilvl="1" w:tplc="A1E2C3D0">
      <w:start w:val="5"/>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0"/>
  </w:num>
  <w:num w:numId="13">
    <w:abstractNumId w:val="16"/>
  </w:num>
  <w:num w:numId="14">
    <w:abstractNumId w:val="11"/>
  </w:num>
  <w:num w:numId="15">
    <w:abstractNumId w:val="19"/>
  </w:num>
  <w:num w:numId="16">
    <w:abstractNumId w:val="15"/>
  </w:num>
  <w:num w:numId="17">
    <w:abstractNumId w:val="18"/>
  </w:num>
  <w:num w:numId="18">
    <w:abstractNumId w:val="14"/>
  </w:num>
  <w:num w:numId="19">
    <w:abstractNumId w:val="17"/>
  </w:num>
  <w:num w:numId="20">
    <w:abstractNumId w:val="14"/>
    <w:lvlOverride w:ilvl="0">
      <w:startOverride w:val="4"/>
    </w:lvlOverride>
  </w:num>
  <w:num w:numId="21">
    <w:abstractNumId w:val="13"/>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E4C"/>
    <w:rsid w:val="0000309B"/>
    <w:rsid w:val="000046D2"/>
    <w:rsid w:val="0000621E"/>
    <w:rsid w:val="00007220"/>
    <w:rsid w:val="00014C6B"/>
    <w:rsid w:val="00015E34"/>
    <w:rsid w:val="00016131"/>
    <w:rsid w:val="0002144F"/>
    <w:rsid w:val="0002160A"/>
    <w:rsid w:val="00025584"/>
    <w:rsid w:val="00026173"/>
    <w:rsid w:val="000318BA"/>
    <w:rsid w:val="00033164"/>
    <w:rsid w:val="000346E4"/>
    <w:rsid w:val="00034E80"/>
    <w:rsid w:val="000459DC"/>
    <w:rsid w:val="00047F7A"/>
    <w:rsid w:val="00051729"/>
    <w:rsid w:val="00052BE5"/>
    <w:rsid w:val="000576A4"/>
    <w:rsid w:val="00057B75"/>
    <w:rsid w:val="00062320"/>
    <w:rsid w:val="00062D1D"/>
    <w:rsid w:val="00062DCD"/>
    <w:rsid w:val="00063055"/>
    <w:rsid w:val="000665F2"/>
    <w:rsid w:val="00066639"/>
    <w:rsid w:val="00072DDD"/>
    <w:rsid w:val="00074067"/>
    <w:rsid w:val="00074D06"/>
    <w:rsid w:val="0007576C"/>
    <w:rsid w:val="0008265F"/>
    <w:rsid w:val="00092E9F"/>
    <w:rsid w:val="00093874"/>
    <w:rsid w:val="00093D6B"/>
    <w:rsid w:val="000960EA"/>
    <w:rsid w:val="00097484"/>
    <w:rsid w:val="000A02D8"/>
    <w:rsid w:val="000A313B"/>
    <w:rsid w:val="000A6E6F"/>
    <w:rsid w:val="000B22B4"/>
    <w:rsid w:val="000B2F6A"/>
    <w:rsid w:val="000B361E"/>
    <w:rsid w:val="000B43F1"/>
    <w:rsid w:val="000C0754"/>
    <w:rsid w:val="000C0E73"/>
    <w:rsid w:val="000C428E"/>
    <w:rsid w:val="000C7C34"/>
    <w:rsid w:val="000E05AE"/>
    <w:rsid w:val="000E060F"/>
    <w:rsid w:val="000E0AB2"/>
    <w:rsid w:val="000E1ADB"/>
    <w:rsid w:val="000E5234"/>
    <w:rsid w:val="000E5987"/>
    <w:rsid w:val="000F0224"/>
    <w:rsid w:val="000F08FF"/>
    <w:rsid w:val="000F0F98"/>
    <w:rsid w:val="000F46D2"/>
    <w:rsid w:val="000F774F"/>
    <w:rsid w:val="000F7A18"/>
    <w:rsid w:val="000F7EB3"/>
    <w:rsid w:val="0010344B"/>
    <w:rsid w:val="00103883"/>
    <w:rsid w:val="00104E7D"/>
    <w:rsid w:val="001050B6"/>
    <w:rsid w:val="0011657D"/>
    <w:rsid w:val="00117212"/>
    <w:rsid w:val="0012050E"/>
    <w:rsid w:val="00123184"/>
    <w:rsid w:val="00127CF9"/>
    <w:rsid w:val="0013543F"/>
    <w:rsid w:val="00135F1C"/>
    <w:rsid w:val="00136FA4"/>
    <w:rsid w:val="001401F1"/>
    <w:rsid w:val="00140798"/>
    <w:rsid w:val="001413DC"/>
    <w:rsid w:val="0014339B"/>
    <w:rsid w:val="0014339F"/>
    <w:rsid w:val="00143D08"/>
    <w:rsid w:val="001450DE"/>
    <w:rsid w:val="001452BD"/>
    <w:rsid w:val="001516B9"/>
    <w:rsid w:val="001566DC"/>
    <w:rsid w:val="00160155"/>
    <w:rsid w:val="001603A8"/>
    <w:rsid w:val="0016168C"/>
    <w:rsid w:val="00164689"/>
    <w:rsid w:val="00165BFB"/>
    <w:rsid w:val="00167411"/>
    <w:rsid w:val="001708C7"/>
    <w:rsid w:val="00173FA8"/>
    <w:rsid w:val="001754DC"/>
    <w:rsid w:val="00183650"/>
    <w:rsid w:val="00185078"/>
    <w:rsid w:val="0019327C"/>
    <w:rsid w:val="00195704"/>
    <w:rsid w:val="00197CF5"/>
    <w:rsid w:val="001A0854"/>
    <w:rsid w:val="001C24C2"/>
    <w:rsid w:val="001C2641"/>
    <w:rsid w:val="001C2975"/>
    <w:rsid w:val="001C5824"/>
    <w:rsid w:val="001D1CE9"/>
    <w:rsid w:val="001D7A2F"/>
    <w:rsid w:val="001D7CDB"/>
    <w:rsid w:val="001E5C5C"/>
    <w:rsid w:val="001F150B"/>
    <w:rsid w:val="001F30FF"/>
    <w:rsid w:val="001F37F5"/>
    <w:rsid w:val="001F728F"/>
    <w:rsid w:val="001F7A94"/>
    <w:rsid w:val="002011B0"/>
    <w:rsid w:val="002046F6"/>
    <w:rsid w:val="002066A2"/>
    <w:rsid w:val="00206856"/>
    <w:rsid w:val="00206BC9"/>
    <w:rsid w:val="0020736C"/>
    <w:rsid w:val="0021018C"/>
    <w:rsid w:val="002124ED"/>
    <w:rsid w:val="00212671"/>
    <w:rsid w:val="002141B0"/>
    <w:rsid w:val="00214D46"/>
    <w:rsid w:val="00216961"/>
    <w:rsid w:val="00217C00"/>
    <w:rsid w:val="002209A7"/>
    <w:rsid w:val="00220B06"/>
    <w:rsid w:val="00222974"/>
    <w:rsid w:val="002264DD"/>
    <w:rsid w:val="00226B58"/>
    <w:rsid w:val="00230A2F"/>
    <w:rsid w:val="002337A0"/>
    <w:rsid w:val="002345C4"/>
    <w:rsid w:val="00234B0C"/>
    <w:rsid w:val="00242369"/>
    <w:rsid w:val="00244435"/>
    <w:rsid w:val="00244B99"/>
    <w:rsid w:val="002456AF"/>
    <w:rsid w:val="00246433"/>
    <w:rsid w:val="00250BF5"/>
    <w:rsid w:val="00255233"/>
    <w:rsid w:val="00263B18"/>
    <w:rsid w:val="00264C65"/>
    <w:rsid w:val="00265A36"/>
    <w:rsid w:val="00266020"/>
    <w:rsid w:val="00270CDD"/>
    <w:rsid w:val="0027140B"/>
    <w:rsid w:val="00273192"/>
    <w:rsid w:val="00277913"/>
    <w:rsid w:val="002824FB"/>
    <w:rsid w:val="00282EC2"/>
    <w:rsid w:val="00282F44"/>
    <w:rsid w:val="00283AC8"/>
    <w:rsid w:val="0028400D"/>
    <w:rsid w:val="002870AB"/>
    <w:rsid w:val="0029492F"/>
    <w:rsid w:val="002962BD"/>
    <w:rsid w:val="002963E2"/>
    <w:rsid w:val="002A1A6D"/>
    <w:rsid w:val="002A3F00"/>
    <w:rsid w:val="002A3F25"/>
    <w:rsid w:val="002A432E"/>
    <w:rsid w:val="002A599E"/>
    <w:rsid w:val="002A6A5B"/>
    <w:rsid w:val="002B5E2A"/>
    <w:rsid w:val="002B7078"/>
    <w:rsid w:val="002B70BE"/>
    <w:rsid w:val="002C057B"/>
    <w:rsid w:val="002C2EC6"/>
    <w:rsid w:val="002C447E"/>
    <w:rsid w:val="002C7B09"/>
    <w:rsid w:val="002D0C8F"/>
    <w:rsid w:val="002D6232"/>
    <w:rsid w:val="002E0696"/>
    <w:rsid w:val="002E35C3"/>
    <w:rsid w:val="002E48E2"/>
    <w:rsid w:val="002E51F7"/>
    <w:rsid w:val="002F366A"/>
    <w:rsid w:val="002F3DAB"/>
    <w:rsid w:val="00301D84"/>
    <w:rsid w:val="0030311E"/>
    <w:rsid w:val="0031441C"/>
    <w:rsid w:val="00314E84"/>
    <w:rsid w:val="0031741A"/>
    <w:rsid w:val="00320226"/>
    <w:rsid w:val="00321B3D"/>
    <w:rsid w:val="00322A25"/>
    <w:rsid w:val="003238AB"/>
    <w:rsid w:val="00330CD2"/>
    <w:rsid w:val="003343DC"/>
    <w:rsid w:val="00343812"/>
    <w:rsid w:val="00344220"/>
    <w:rsid w:val="0034656C"/>
    <w:rsid w:val="00350B50"/>
    <w:rsid w:val="00351304"/>
    <w:rsid w:val="003514E4"/>
    <w:rsid w:val="00351B63"/>
    <w:rsid w:val="0035331A"/>
    <w:rsid w:val="00355516"/>
    <w:rsid w:val="00355DD2"/>
    <w:rsid w:val="00356224"/>
    <w:rsid w:val="00357A4B"/>
    <w:rsid w:val="00360657"/>
    <w:rsid w:val="00361E4E"/>
    <w:rsid w:val="003655FB"/>
    <w:rsid w:val="00367824"/>
    <w:rsid w:val="0038136E"/>
    <w:rsid w:val="00384BFB"/>
    <w:rsid w:val="003854BA"/>
    <w:rsid w:val="003905FA"/>
    <w:rsid w:val="00391A29"/>
    <w:rsid w:val="00392910"/>
    <w:rsid w:val="003949B6"/>
    <w:rsid w:val="003A019A"/>
    <w:rsid w:val="003A0EE1"/>
    <w:rsid w:val="003A28D5"/>
    <w:rsid w:val="003A2C0C"/>
    <w:rsid w:val="003A634A"/>
    <w:rsid w:val="003A7914"/>
    <w:rsid w:val="003A7A61"/>
    <w:rsid w:val="003B1740"/>
    <w:rsid w:val="003B2A64"/>
    <w:rsid w:val="003B6277"/>
    <w:rsid w:val="003B647D"/>
    <w:rsid w:val="003B6E17"/>
    <w:rsid w:val="003C2C83"/>
    <w:rsid w:val="003C4A4F"/>
    <w:rsid w:val="003C4E26"/>
    <w:rsid w:val="003C6550"/>
    <w:rsid w:val="003C665A"/>
    <w:rsid w:val="003C6833"/>
    <w:rsid w:val="003C7322"/>
    <w:rsid w:val="003C779E"/>
    <w:rsid w:val="003C7F02"/>
    <w:rsid w:val="003D2951"/>
    <w:rsid w:val="003D6238"/>
    <w:rsid w:val="003E11A6"/>
    <w:rsid w:val="003E5475"/>
    <w:rsid w:val="003E7553"/>
    <w:rsid w:val="003F03CE"/>
    <w:rsid w:val="003F348D"/>
    <w:rsid w:val="003F435D"/>
    <w:rsid w:val="003F5F00"/>
    <w:rsid w:val="003F7369"/>
    <w:rsid w:val="003F7794"/>
    <w:rsid w:val="004055A7"/>
    <w:rsid w:val="00407000"/>
    <w:rsid w:val="004072F7"/>
    <w:rsid w:val="004073D4"/>
    <w:rsid w:val="00412D89"/>
    <w:rsid w:val="00413412"/>
    <w:rsid w:val="0041773E"/>
    <w:rsid w:val="0041790A"/>
    <w:rsid w:val="004250A1"/>
    <w:rsid w:val="00436E27"/>
    <w:rsid w:val="00441347"/>
    <w:rsid w:val="0044403A"/>
    <w:rsid w:val="00446A4C"/>
    <w:rsid w:val="004470E4"/>
    <w:rsid w:val="00447C8F"/>
    <w:rsid w:val="00447D60"/>
    <w:rsid w:val="00453339"/>
    <w:rsid w:val="00454EF0"/>
    <w:rsid w:val="004572C0"/>
    <w:rsid w:val="00462992"/>
    <w:rsid w:val="00470622"/>
    <w:rsid w:val="00474FA3"/>
    <w:rsid w:val="00477EB7"/>
    <w:rsid w:val="00485FBB"/>
    <w:rsid w:val="00487E47"/>
    <w:rsid w:val="00491AE8"/>
    <w:rsid w:val="00493904"/>
    <w:rsid w:val="0049490F"/>
    <w:rsid w:val="004A0974"/>
    <w:rsid w:val="004B1157"/>
    <w:rsid w:val="004B5ED7"/>
    <w:rsid w:val="004B6E4C"/>
    <w:rsid w:val="004C3A9B"/>
    <w:rsid w:val="004C3C0C"/>
    <w:rsid w:val="004C3D44"/>
    <w:rsid w:val="004D0D43"/>
    <w:rsid w:val="004D6432"/>
    <w:rsid w:val="004D71AA"/>
    <w:rsid w:val="004E0F18"/>
    <w:rsid w:val="004F00A2"/>
    <w:rsid w:val="004F1350"/>
    <w:rsid w:val="004F2E33"/>
    <w:rsid w:val="004F3446"/>
    <w:rsid w:val="004F698B"/>
    <w:rsid w:val="005036D3"/>
    <w:rsid w:val="00503E15"/>
    <w:rsid w:val="00505CDF"/>
    <w:rsid w:val="0050757D"/>
    <w:rsid w:val="005128EB"/>
    <w:rsid w:val="00516247"/>
    <w:rsid w:val="00517585"/>
    <w:rsid w:val="00521361"/>
    <w:rsid w:val="00524066"/>
    <w:rsid w:val="00524A64"/>
    <w:rsid w:val="00524F25"/>
    <w:rsid w:val="00530614"/>
    <w:rsid w:val="00531F80"/>
    <w:rsid w:val="005321AC"/>
    <w:rsid w:val="0053234F"/>
    <w:rsid w:val="00533704"/>
    <w:rsid w:val="00533A3D"/>
    <w:rsid w:val="005349DA"/>
    <w:rsid w:val="00535D41"/>
    <w:rsid w:val="00536369"/>
    <w:rsid w:val="00536A04"/>
    <w:rsid w:val="00553A0E"/>
    <w:rsid w:val="005575A7"/>
    <w:rsid w:val="00561E01"/>
    <w:rsid w:val="00562890"/>
    <w:rsid w:val="00563238"/>
    <w:rsid w:val="00564BD0"/>
    <w:rsid w:val="005659CB"/>
    <w:rsid w:val="00566B55"/>
    <w:rsid w:val="00567DB7"/>
    <w:rsid w:val="00573762"/>
    <w:rsid w:val="0057737A"/>
    <w:rsid w:val="00580A4C"/>
    <w:rsid w:val="005819D0"/>
    <w:rsid w:val="005854E9"/>
    <w:rsid w:val="00585B17"/>
    <w:rsid w:val="00594E83"/>
    <w:rsid w:val="0059719D"/>
    <w:rsid w:val="005A1A64"/>
    <w:rsid w:val="005A2EA0"/>
    <w:rsid w:val="005A5BCE"/>
    <w:rsid w:val="005A5F4A"/>
    <w:rsid w:val="005B0E75"/>
    <w:rsid w:val="005B4700"/>
    <w:rsid w:val="005B64E7"/>
    <w:rsid w:val="005B66E3"/>
    <w:rsid w:val="005C050E"/>
    <w:rsid w:val="005C45C0"/>
    <w:rsid w:val="005C6AD1"/>
    <w:rsid w:val="005C7F6B"/>
    <w:rsid w:val="005D1BC8"/>
    <w:rsid w:val="005D29F4"/>
    <w:rsid w:val="005D337B"/>
    <w:rsid w:val="005D350E"/>
    <w:rsid w:val="005D4C85"/>
    <w:rsid w:val="005D4D77"/>
    <w:rsid w:val="005D7871"/>
    <w:rsid w:val="005F015F"/>
    <w:rsid w:val="005F077A"/>
    <w:rsid w:val="005F4E24"/>
    <w:rsid w:val="005F536C"/>
    <w:rsid w:val="005F6600"/>
    <w:rsid w:val="00601E3A"/>
    <w:rsid w:val="00602BDD"/>
    <w:rsid w:val="00602C33"/>
    <w:rsid w:val="0060586D"/>
    <w:rsid w:val="00606CD9"/>
    <w:rsid w:val="00612137"/>
    <w:rsid w:val="0061649D"/>
    <w:rsid w:val="0062066B"/>
    <w:rsid w:val="0062133A"/>
    <w:rsid w:val="0062309F"/>
    <w:rsid w:val="006231D6"/>
    <w:rsid w:val="00625C3D"/>
    <w:rsid w:val="006318B8"/>
    <w:rsid w:val="00635359"/>
    <w:rsid w:val="00636531"/>
    <w:rsid w:val="006444A6"/>
    <w:rsid w:val="00644FA9"/>
    <w:rsid w:val="00645A9E"/>
    <w:rsid w:val="0065182E"/>
    <w:rsid w:val="00651BD4"/>
    <w:rsid w:val="00654201"/>
    <w:rsid w:val="00654848"/>
    <w:rsid w:val="0065604F"/>
    <w:rsid w:val="0066124F"/>
    <w:rsid w:val="0066265E"/>
    <w:rsid w:val="00663A2F"/>
    <w:rsid w:val="006645D6"/>
    <w:rsid w:val="00670EB1"/>
    <w:rsid w:val="00673023"/>
    <w:rsid w:val="006756FB"/>
    <w:rsid w:val="00676BDF"/>
    <w:rsid w:val="00682433"/>
    <w:rsid w:val="006832C1"/>
    <w:rsid w:val="006866AC"/>
    <w:rsid w:val="00690EB0"/>
    <w:rsid w:val="00694A2A"/>
    <w:rsid w:val="00697796"/>
    <w:rsid w:val="006A016C"/>
    <w:rsid w:val="006A37CC"/>
    <w:rsid w:val="006A3D14"/>
    <w:rsid w:val="006A468E"/>
    <w:rsid w:val="006A502A"/>
    <w:rsid w:val="006A7099"/>
    <w:rsid w:val="006B37CF"/>
    <w:rsid w:val="006B4882"/>
    <w:rsid w:val="006B782A"/>
    <w:rsid w:val="006C1FF4"/>
    <w:rsid w:val="006C294B"/>
    <w:rsid w:val="006C2EFA"/>
    <w:rsid w:val="006C7482"/>
    <w:rsid w:val="006C77F9"/>
    <w:rsid w:val="006D2218"/>
    <w:rsid w:val="006D2F48"/>
    <w:rsid w:val="006D6FEC"/>
    <w:rsid w:val="006E2DB1"/>
    <w:rsid w:val="006E49C7"/>
    <w:rsid w:val="006E4BD9"/>
    <w:rsid w:val="006F09EA"/>
    <w:rsid w:val="006F0AF1"/>
    <w:rsid w:val="006F167D"/>
    <w:rsid w:val="006F1B8A"/>
    <w:rsid w:val="006F1CA5"/>
    <w:rsid w:val="006F4540"/>
    <w:rsid w:val="006F4FB0"/>
    <w:rsid w:val="006F66A1"/>
    <w:rsid w:val="006F7BCC"/>
    <w:rsid w:val="00700ED4"/>
    <w:rsid w:val="0071071F"/>
    <w:rsid w:val="00711155"/>
    <w:rsid w:val="007118C7"/>
    <w:rsid w:val="0071540F"/>
    <w:rsid w:val="007161A0"/>
    <w:rsid w:val="007210BB"/>
    <w:rsid w:val="007230BB"/>
    <w:rsid w:val="00723A99"/>
    <w:rsid w:val="007265A6"/>
    <w:rsid w:val="007273A5"/>
    <w:rsid w:val="00730663"/>
    <w:rsid w:val="007314AC"/>
    <w:rsid w:val="007315AC"/>
    <w:rsid w:val="00734BE4"/>
    <w:rsid w:val="0073512F"/>
    <w:rsid w:val="00741D13"/>
    <w:rsid w:val="00751701"/>
    <w:rsid w:val="00762032"/>
    <w:rsid w:val="00763114"/>
    <w:rsid w:val="00765037"/>
    <w:rsid w:val="00770B82"/>
    <w:rsid w:val="007717E7"/>
    <w:rsid w:val="00772448"/>
    <w:rsid w:val="00774859"/>
    <w:rsid w:val="0078079F"/>
    <w:rsid w:val="00780A35"/>
    <w:rsid w:val="00781713"/>
    <w:rsid w:val="00781CFD"/>
    <w:rsid w:val="00784465"/>
    <w:rsid w:val="007844D3"/>
    <w:rsid w:val="007900F0"/>
    <w:rsid w:val="00797719"/>
    <w:rsid w:val="007A1ED5"/>
    <w:rsid w:val="007A3C1F"/>
    <w:rsid w:val="007A43B6"/>
    <w:rsid w:val="007A71E2"/>
    <w:rsid w:val="007B17B1"/>
    <w:rsid w:val="007B1E9E"/>
    <w:rsid w:val="007B71F8"/>
    <w:rsid w:val="007C1FCB"/>
    <w:rsid w:val="007C2465"/>
    <w:rsid w:val="007C33A1"/>
    <w:rsid w:val="007C4C72"/>
    <w:rsid w:val="007C5736"/>
    <w:rsid w:val="007C588A"/>
    <w:rsid w:val="007C599D"/>
    <w:rsid w:val="007C66D6"/>
    <w:rsid w:val="007C71D1"/>
    <w:rsid w:val="007D0E7D"/>
    <w:rsid w:val="007D32BF"/>
    <w:rsid w:val="007D569E"/>
    <w:rsid w:val="007E04E2"/>
    <w:rsid w:val="007E3061"/>
    <w:rsid w:val="007F0A87"/>
    <w:rsid w:val="007F3014"/>
    <w:rsid w:val="007F3315"/>
    <w:rsid w:val="007F7D58"/>
    <w:rsid w:val="00800168"/>
    <w:rsid w:val="00800F59"/>
    <w:rsid w:val="008010B7"/>
    <w:rsid w:val="00801A0B"/>
    <w:rsid w:val="00807517"/>
    <w:rsid w:val="00807995"/>
    <w:rsid w:val="00815714"/>
    <w:rsid w:val="00820257"/>
    <w:rsid w:val="00822B67"/>
    <w:rsid w:val="00822FE4"/>
    <w:rsid w:val="00827AC5"/>
    <w:rsid w:val="00830C37"/>
    <w:rsid w:val="0083325D"/>
    <w:rsid w:val="00835482"/>
    <w:rsid w:val="00836E56"/>
    <w:rsid w:val="00840CFC"/>
    <w:rsid w:val="008421BE"/>
    <w:rsid w:val="00844498"/>
    <w:rsid w:val="008463F9"/>
    <w:rsid w:val="00847DD6"/>
    <w:rsid w:val="008518CE"/>
    <w:rsid w:val="00853629"/>
    <w:rsid w:val="00855A4C"/>
    <w:rsid w:val="00856EF1"/>
    <w:rsid w:val="00857568"/>
    <w:rsid w:val="0086013A"/>
    <w:rsid w:val="00860D52"/>
    <w:rsid w:val="008613C2"/>
    <w:rsid w:val="008637F3"/>
    <w:rsid w:val="00863FBC"/>
    <w:rsid w:val="008665AE"/>
    <w:rsid w:val="00871150"/>
    <w:rsid w:val="00872DB3"/>
    <w:rsid w:val="00882B65"/>
    <w:rsid w:val="00883205"/>
    <w:rsid w:val="008836D4"/>
    <w:rsid w:val="00883CE7"/>
    <w:rsid w:val="00890EBD"/>
    <w:rsid w:val="00897F6B"/>
    <w:rsid w:val="008A0791"/>
    <w:rsid w:val="008A0E05"/>
    <w:rsid w:val="008A62EB"/>
    <w:rsid w:val="008B7C3C"/>
    <w:rsid w:val="008C06B2"/>
    <w:rsid w:val="008C257A"/>
    <w:rsid w:val="008C363E"/>
    <w:rsid w:val="008C43DA"/>
    <w:rsid w:val="008D02AE"/>
    <w:rsid w:val="008D058B"/>
    <w:rsid w:val="008D5238"/>
    <w:rsid w:val="008E2AA3"/>
    <w:rsid w:val="008E3F15"/>
    <w:rsid w:val="008E5EE5"/>
    <w:rsid w:val="008F4262"/>
    <w:rsid w:val="008F4332"/>
    <w:rsid w:val="008F561F"/>
    <w:rsid w:val="00900A9F"/>
    <w:rsid w:val="00900D17"/>
    <w:rsid w:val="009105AD"/>
    <w:rsid w:val="00915E8D"/>
    <w:rsid w:val="0091664B"/>
    <w:rsid w:val="0092040A"/>
    <w:rsid w:val="00923AEE"/>
    <w:rsid w:val="0092771A"/>
    <w:rsid w:val="00927F31"/>
    <w:rsid w:val="00931F18"/>
    <w:rsid w:val="009326F1"/>
    <w:rsid w:val="00932C52"/>
    <w:rsid w:val="009342B3"/>
    <w:rsid w:val="00934452"/>
    <w:rsid w:val="009356A5"/>
    <w:rsid w:val="00935C44"/>
    <w:rsid w:val="00936777"/>
    <w:rsid w:val="00936EDB"/>
    <w:rsid w:val="00937D9E"/>
    <w:rsid w:val="00940560"/>
    <w:rsid w:val="00943E15"/>
    <w:rsid w:val="00944051"/>
    <w:rsid w:val="00945B9F"/>
    <w:rsid w:val="0094777F"/>
    <w:rsid w:val="00950229"/>
    <w:rsid w:val="009506BB"/>
    <w:rsid w:val="00952BC0"/>
    <w:rsid w:val="00955274"/>
    <w:rsid w:val="00955824"/>
    <w:rsid w:val="00957394"/>
    <w:rsid w:val="00957A08"/>
    <w:rsid w:val="00964C99"/>
    <w:rsid w:val="00971730"/>
    <w:rsid w:val="0097298B"/>
    <w:rsid w:val="00972E8B"/>
    <w:rsid w:val="00986699"/>
    <w:rsid w:val="0098751E"/>
    <w:rsid w:val="00987DE0"/>
    <w:rsid w:val="00992AE9"/>
    <w:rsid w:val="00992CCA"/>
    <w:rsid w:val="0099689C"/>
    <w:rsid w:val="009A1766"/>
    <w:rsid w:val="009A20F4"/>
    <w:rsid w:val="009A51BF"/>
    <w:rsid w:val="009B04EC"/>
    <w:rsid w:val="009B0BAD"/>
    <w:rsid w:val="009B5435"/>
    <w:rsid w:val="009B5C67"/>
    <w:rsid w:val="009C2FB9"/>
    <w:rsid w:val="009C3984"/>
    <w:rsid w:val="009D11CA"/>
    <w:rsid w:val="009D2B6A"/>
    <w:rsid w:val="009D3781"/>
    <w:rsid w:val="009D379E"/>
    <w:rsid w:val="009D493D"/>
    <w:rsid w:val="009D5AA3"/>
    <w:rsid w:val="009E088F"/>
    <w:rsid w:val="009E160A"/>
    <w:rsid w:val="009E2425"/>
    <w:rsid w:val="009E40F3"/>
    <w:rsid w:val="009E65C0"/>
    <w:rsid w:val="009F086C"/>
    <w:rsid w:val="009F2FA8"/>
    <w:rsid w:val="009F3990"/>
    <w:rsid w:val="009F5268"/>
    <w:rsid w:val="00A054C1"/>
    <w:rsid w:val="00A06630"/>
    <w:rsid w:val="00A0691F"/>
    <w:rsid w:val="00A13748"/>
    <w:rsid w:val="00A2077D"/>
    <w:rsid w:val="00A21013"/>
    <w:rsid w:val="00A21A80"/>
    <w:rsid w:val="00A2591B"/>
    <w:rsid w:val="00A26915"/>
    <w:rsid w:val="00A2792E"/>
    <w:rsid w:val="00A304D6"/>
    <w:rsid w:val="00A30E2B"/>
    <w:rsid w:val="00A30F9D"/>
    <w:rsid w:val="00A314B7"/>
    <w:rsid w:val="00A322E1"/>
    <w:rsid w:val="00A33795"/>
    <w:rsid w:val="00A33CAF"/>
    <w:rsid w:val="00A37085"/>
    <w:rsid w:val="00A37770"/>
    <w:rsid w:val="00A37E99"/>
    <w:rsid w:val="00A41A9E"/>
    <w:rsid w:val="00A45345"/>
    <w:rsid w:val="00A47730"/>
    <w:rsid w:val="00A5230A"/>
    <w:rsid w:val="00A557FF"/>
    <w:rsid w:val="00A565D7"/>
    <w:rsid w:val="00A56C64"/>
    <w:rsid w:val="00A613E3"/>
    <w:rsid w:val="00A6424A"/>
    <w:rsid w:val="00A6577F"/>
    <w:rsid w:val="00A65807"/>
    <w:rsid w:val="00A65AC1"/>
    <w:rsid w:val="00A70167"/>
    <w:rsid w:val="00A70F90"/>
    <w:rsid w:val="00A759BB"/>
    <w:rsid w:val="00A86269"/>
    <w:rsid w:val="00A879F3"/>
    <w:rsid w:val="00A952E0"/>
    <w:rsid w:val="00A95BB3"/>
    <w:rsid w:val="00A95CDD"/>
    <w:rsid w:val="00AA5021"/>
    <w:rsid w:val="00AB04F7"/>
    <w:rsid w:val="00AB0567"/>
    <w:rsid w:val="00AB46BB"/>
    <w:rsid w:val="00AB5795"/>
    <w:rsid w:val="00AC4D32"/>
    <w:rsid w:val="00AC5A25"/>
    <w:rsid w:val="00AC5D7E"/>
    <w:rsid w:val="00AC662C"/>
    <w:rsid w:val="00AD01FB"/>
    <w:rsid w:val="00AD0515"/>
    <w:rsid w:val="00AD18DB"/>
    <w:rsid w:val="00AD3B86"/>
    <w:rsid w:val="00AD5E33"/>
    <w:rsid w:val="00AD5EBD"/>
    <w:rsid w:val="00AD7882"/>
    <w:rsid w:val="00AE3A0A"/>
    <w:rsid w:val="00AE6795"/>
    <w:rsid w:val="00AF07B1"/>
    <w:rsid w:val="00AF7FEC"/>
    <w:rsid w:val="00B0613D"/>
    <w:rsid w:val="00B07868"/>
    <w:rsid w:val="00B10853"/>
    <w:rsid w:val="00B12086"/>
    <w:rsid w:val="00B12E0E"/>
    <w:rsid w:val="00B12F3A"/>
    <w:rsid w:val="00B151C6"/>
    <w:rsid w:val="00B16A98"/>
    <w:rsid w:val="00B16BDE"/>
    <w:rsid w:val="00B1701D"/>
    <w:rsid w:val="00B24488"/>
    <w:rsid w:val="00B25E14"/>
    <w:rsid w:val="00B25F5D"/>
    <w:rsid w:val="00B31BEA"/>
    <w:rsid w:val="00B31C01"/>
    <w:rsid w:val="00B34CB8"/>
    <w:rsid w:val="00B35331"/>
    <w:rsid w:val="00B35B61"/>
    <w:rsid w:val="00B35FBB"/>
    <w:rsid w:val="00B36957"/>
    <w:rsid w:val="00B40E77"/>
    <w:rsid w:val="00B506BB"/>
    <w:rsid w:val="00B522F7"/>
    <w:rsid w:val="00B5386B"/>
    <w:rsid w:val="00B5662F"/>
    <w:rsid w:val="00B57A02"/>
    <w:rsid w:val="00B632E6"/>
    <w:rsid w:val="00B64481"/>
    <w:rsid w:val="00B70C07"/>
    <w:rsid w:val="00B73559"/>
    <w:rsid w:val="00B859A5"/>
    <w:rsid w:val="00B87208"/>
    <w:rsid w:val="00B903D3"/>
    <w:rsid w:val="00B9118A"/>
    <w:rsid w:val="00B91E51"/>
    <w:rsid w:val="00B9596B"/>
    <w:rsid w:val="00B96A10"/>
    <w:rsid w:val="00BA13E1"/>
    <w:rsid w:val="00BA5466"/>
    <w:rsid w:val="00BB2773"/>
    <w:rsid w:val="00BC0128"/>
    <w:rsid w:val="00BC2C9C"/>
    <w:rsid w:val="00BC416E"/>
    <w:rsid w:val="00BC686B"/>
    <w:rsid w:val="00BD03F1"/>
    <w:rsid w:val="00BD15B7"/>
    <w:rsid w:val="00BD1A99"/>
    <w:rsid w:val="00BD53FA"/>
    <w:rsid w:val="00BE25B7"/>
    <w:rsid w:val="00BE4C5F"/>
    <w:rsid w:val="00BE5659"/>
    <w:rsid w:val="00BE7FB5"/>
    <w:rsid w:val="00BF0F11"/>
    <w:rsid w:val="00BF23A7"/>
    <w:rsid w:val="00BF54A2"/>
    <w:rsid w:val="00BF65DC"/>
    <w:rsid w:val="00BF7C7F"/>
    <w:rsid w:val="00BF7E31"/>
    <w:rsid w:val="00C05147"/>
    <w:rsid w:val="00C075AF"/>
    <w:rsid w:val="00C077DA"/>
    <w:rsid w:val="00C17F51"/>
    <w:rsid w:val="00C2181F"/>
    <w:rsid w:val="00C23980"/>
    <w:rsid w:val="00C23E33"/>
    <w:rsid w:val="00C25032"/>
    <w:rsid w:val="00C276F5"/>
    <w:rsid w:val="00C30B17"/>
    <w:rsid w:val="00C31B34"/>
    <w:rsid w:val="00C34BFB"/>
    <w:rsid w:val="00C375C9"/>
    <w:rsid w:val="00C405FE"/>
    <w:rsid w:val="00C42E8A"/>
    <w:rsid w:val="00C441B0"/>
    <w:rsid w:val="00C53F16"/>
    <w:rsid w:val="00C55173"/>
    <w:rsid w:val="00C57A92"/>
    <w:rsid w:val="00C6545F"/>
    <w:rsid w:val="00C8384D"/>
    <w:rsid w:val="00C8665E"/>
    <w:rsid w:val="00C86DFA"/>
    <w:rsid w:val="00C92FCC"/>
    <w:rsid w:val="00C959F9"/>
    <w:rsid w:val="00CA0192"/>
    <w:rsid w:val="00CA111C"/>
    <w:rsid w:val="00CA4D1F"/>
    <w:rsid w:val="00CA6C25"/>
    <w:rsid w:val="00CB17F0"/>
    <w:rsid w:val="00CB7B60"/>
    <w:rsid w:val="00CC18B3"/>
    <w:rsid w:val="00CC2A68"/>
    <w:rsid w:val="00CC6B2D"/>
    <w:rsid w:val="00CC7B2D"/>
    <w:rsid w:val="00CC7E97"/>
    <w:rsid w:val="00CC7F6E"/>
    <w:rsid w:val="00CD6859"/>
    <w:rsid w:val="00CE1B6C"/>
    <w:rsid w:val="00CE287E"/>
    <w:rsid w:val="00CE2A80"/>
    <w:rsid w:val="00CE3311"/>
    <w:rsid w:val="00CE4BF6"/>
    <w:rsid w:val="00CE57CF"/>
    <w:rsid w:val="00CE5C28"/>
    <w:rsid w:val="00CF2EF4"/>
    <w:rsid w:val="00CF2FBC"/>
    <w:rsid w:val="00D009B9"/>
    <w:rsid w:val="00D027A0"/>
    <w:rsid w:val="00D031BB"/>
    <w:rsid w:val="00D03552"/>
    <w:rsid w:val="00D0419A"/>
    <w:rsid w:val="00D15772"/>
    <w:rsid w:val="00D201BD"/>
    <w:rsid w:val="00D20707"/>
    <w:rsid w:val="00D20814"/>
    <w:rsid w:val="00D20A1E"/>
    <w:rsid w:val="00D24FE2"/>
    <w:rsid w:val="00D333BE"/>
    <w:rsid w:val="00D36FF9"/>
    <w:rsid w:val="00D40990"/>
    <w:rsid w:val="00D41605"/>
    <w:rsid w:val="00D42961"/>
    <w:rsid w:val="00D43765"/>
    <w:rsid w:val="00D44FB4"/>
    <w:rsid w:val="00D50354"/>
    <w:rsid w:val="00D50B19"/>
    <w:rsid w:val="00D50DCC"/>
    <w:rsid w:val="00D53785"/>
    <w:rsid w:val="00D56748"/>
    <w:rsid w:val="00D57532"/>
    <w:rsid w:val="00D713EC"/>
    <w:rsid w:val="00D7357B"/>
    <w:rsid w:val="00D7384A"/>
    <w:rsid w:val="00D73C13"/>
    <w:rsid w:val="00D755E5"/>
    <w:rsid w:val="00D7690C"/>
    <w:rsid w:val="00D76E56"/>
    <w:rsid w:val="00D7751C"/>
    <w:rsid w:val="00D84069"/>
    <w:rsid w:val="00D84920"/>
    <w:rsid w:val="00D84CEE"/>
    <w:rsid w:val="00D84D75"/>
    <w:rsid w:val="00D857B7"/>
    <w:rsid w:val="00D86424"/>
    <w:rsid w:val="00D864E1"/>
    <w:rsid w:val="00D923DC"/>
    <w:rsid w:val="00D9393D"/>
    <w:rsid w:val="00D95439"/>
    <w:rsid w:val="00D96212"/>
    <w:rsid w:val="00DA0D5E"/>
    <w:rsid w:val="00DA121B"/>
    <w:rsid w:val="00DA259B"/>
    <w:rsid w:val="00DA3F20"/>
    <w:rsid w:val="00DA5808"/>
    <w:rsid w:val="00DB219E"/>
    <w:rsid w:val="00DB4D43"/>
    <w:rsid w:val="00DB784F"/>
    <w:rsid w:val="00DC2250"/>
    <w:rsid w:val="00DC4578"/>
    <w:rsid w:val="00DC6DF5"/>
    <w:rsid w:val="00DD0405"/>
    <w:rsid w:val="00DD1920"/>
    <w:rsid w:val="00DD23EC"/>
    <w:rsid w:val="00DD6765"/>
    <w:rsid w:val="00DE5C5C"/>
    <w:rsid w:val="00DF19B4"/>
    <w:rsid w:val="00DF213B"/>
    <w:rsid w:val="00DF32EA"/>
    <w:rsid w:val="00E05D80"/>
    <w:rsid w:val="00E11307"/>
    <w:rsid w:val="00E11623"/>
    <w:rsid w:val="00E261D4"/>
    <w:rsid w:val="00E26C02"/>
    <w:rsid w:val="00E3345F"/>
    <w:rsid w:val="00E36E88"/>
    <w:rsid w:val="00E37A2F"/>
    <w:rsid w:val="00E40B36"/>
    <w:rsid w:val="00E41322"/>
    <w:rsid w:val="00E44239"/>
    <w:rsid w:val="00E4493E"/>
    <w:rsid w:val="00E45FFA"/>
    <w:rsid w:val="00E46815"/>
    <w:rsid w:val="00E47962"/>
    <w:rsid w:val="00E522C0"/>
    <w:rsid w:val="00E54784"/>
    <w:rsid w:val="00E57C1B"/>
    <w:rsid w:val="00E62BB9"/>
    <w:rsid w:val="00E64E1A"/>
    <w:rsid w:val="00E656B9"/>
    <w:rsid w:val="00E66C5E"/>
    <w:rsid w:val="00E70DF4"/>
    <w:rsid w:val="00E70FE8"/>
    <w:rsid w:val="00E74952"/>
    <w:rsid w:val="00E7570F"/>
    <w:rsid w:val="00E80C4F"/>
    <w:rsid w:val="00E85041"/>
    <w:rsid w:val="00E85422"/>
    <w:rsid w:val="00E8615E"/>
    <w:rsid w:val="00E876E2"/>
    <w:rsid w:val="00E935AD"/>
    <w:rsid w:val="00E93A8D"/>
    <w:rsid w:val="00E93F92"/>
    <w:rsid w:val="00E96569"/>
    <w:rsid w:val="00EA1E73"/>
    <w:rsid w:val="00EA3F0B"/>
    <w:rsid w:val="00EA456A"/>
    <w:rsid w:val="00EA558C"/>
    <w:rsid w:val="00EA68BA"/>
    <w:rsid w:val="00EB5CEB"/>
    <w:rsid w:val="00EC1AB8"/>
    <w:rsid w:val="00ED03FA"/>
    <w:rsid w:val="00ED077A"/>
    <w:rsid w:val="00ED1A46"/>
    <w:rsid w:val="00EE2D8A"/>
    <w:rsid w:val="00EE3AE3"/>
    <w:rsid w:val="00EE4D7A"/>
    <w:rsid w:val="00EE6047"/>
    <w:rsid w:val="00EE6279"/>
    <w:rsid w:val="00EE6E65"/>
    <w:rsid w:val="00EF09E9"/>
    <w:rsid w:val="00EF3228"/>
    <w:rsid w:val="00EF6212"/>
    <w:rsid w:val="00F04F1C"/>
    <w:rsid w:val="00F1022F"/>
    <w:rsid w:val="00F1174D"/>
    <w:rsid w:val="00F13ABB"/>
    <w:rsid w:val="00F142CB"/>
    <w:rsid w:val="00F16888"/>
    <w:rsid w:val="00F22814"/>
    <w:rsid w:val="00F22F59"/>
    <w:rsid w:val="00F233D3"/>
    <w:rsid w:val="00F2424E"/>
    <w:rsid w:val="00F25819"/>
    <w:rsid w:val="00F2633C"/>
    <w:rsid w:val="00F3228F"/>
    <w:rsid w:val="00F328B6"/>
    <w:rsid w:val="00F441BD"/>
    <w:rsid w:val="00F45F8E"/>
    <w:rsid w:val="00F47000"/>
    <w:rsid w:val="00F47AE4"/>
    <w:rsid w:val="00F56119"/>
    <w:rsid w:val="00F57191"/>
    <w:rsid w:val="00F70705"/>
    <w:rsid w:val="00F74AEE"/>
    <w:rsid w:val="00F775AE"/>
    <w:rsid w:val="00F835FC"/>
    <w:rsid w:val="00F84F32"/>
    <w:rsid w:val="00F92A40"/>
    <w:rsid w:val="00FA02D4"/>
    <w:rsid w:val="00FA1090"/>
    <w:rsid w:val="00FA1E56"/>
    <w:rsid w:val="00FA2B35"/>
    <w:rsid w:val="00FA4A54"/>
    <w:rsid w:val="00FA78F5"/>
    <w:rsid w:val="00FB0DB9"/>
    <w:rsid w:val="00FB0E6A"/>
    <w:rsid w:val="00FB525F"/>
    <w:rsid w:val="00FB5744"/>
    <w:rsid w:val="00FB635C"/>
    <w:rsid w:val="00FC2B3B"/>
    <w:rsid w:val="00FD0567"/>
    <w:rsid w:val="00FD1277"/>
    <w:rsid w:val="00FD4623"/>
    <w:rsid w:val="00FD5535"/>
    <w:rsid w:val="00FD7373"/>
    <w:rsid w:val="00FE6DA1"/>
    <w:rsid w:val="00FE7550"/>
    <w:rsid w:val="00FF37D5"/>
    <w:rsid w:val="00FF3CC7"/>
    <w:rsid w:val="00FF7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ln">
    <w:name w:val="Normal"/>
    <w:qFormat/>
    <w:rsid w:val="00D15772"/>
    <w:pPr>
      <w:widowControl w:val="0"/>
      <w:ind w:firstLine="567"/>
      <w:jc w:val="both"/>
    </w:pPr>
    <w:rPr>
      <w:rFonts w:ascii="Times New Roman" w:eastAsia="Times New Roman" w:hAnsi="Times New Roman"/>
      <w:sz w:val="24"/>
      <w:szCs w:val="24"/>
    </w:rPr>
  </w:style>
  <w:style w:type="paragraph" w:styleId="Nadpis1">
    <w:name w:val="heading 1"/>
    <w:aliases w:val="MMM: Nadpis 1,1_Nadpis 1,Nadpis 1Barča"/>
    <w:basedOn w:val="Normln"/>
    <w:next w:val="Normln"/>
    <w:link w:val="Nadpis1Char"/>
    <w:uiPriority w:val="99"/>
    <w:qFormat/>
    <w:rsid w:val="00D15772"/>
    <w:pPr>
      <w:tabs>
        <w:tab w:val="left" w:pos="720"/>
      </w:tabs>
      <w:ind w:firstLine="0"/>
      <w:jc w:val="center"/>
      <w:outlineLvl w:val="0"/>
    </w:pPr>
    <w:rPr>
      <w:b/>
      <w:bCs/>
      <w:kern w:val="32"/>
      <w:sz w:val="44"/>
      <w:szCs w:val="32"/>
    </w:rPr>
  </w:style>
  <w:style w:type="paragraph" w:styleId="Nadpis2">
    <w:name w:val="heading 2"/>
    <w:aliases w:val="MMM Nadpis 2,Nadpis_2"/>
    <w:basedOn w:val="Normln"/>
    <w:next w:val="Normln"/>
    <w:link w:val="Nadpis2Char"/>
    <w:uiPriority w:val="99"/>
    <w:qFormat/>
    <w:rsid w:val="00D15772"/>
    <w:pPr>
      <w:keepNext/>
      <w:tabs>
        <w:tab w:val="left" w:pos="720"/>
      </w:tabs>
      <w:spacing w:before="360" w:after="240"/>
      <w:outlineLvl w:val="1"/>
    </w:pPr>
    <w:rPr>
      <w:rFonts w:ascii="Arial" w:hAnsi="Arial" w:cs="Arial"/>
      <w:b/>
      <w:sz w:val="28"/>
      <w:szCs w:val="44"/>
    </w:rPr>
  </w:style>
  <w:style w:type="paragraph" w:styleId="Nadpis3">
    <w:name w:val="heading 3"/>
    <w:basedOn w:val="StylNadpis2Ped0bZa0b"/>
    <w:next w:val="Normln"/>
    <w:link w:val="Nadpis3Char"/>
    <w:uiPriority w:val="99"/>
    <w:qFormat/>
    <w:rsid w:val="00D15772"/>
    <w:pPr>
      <w:numPr>
        <w:ilvl w:val="2"/>
      </w:numPr>
      <w:tabs>
        <w:tab w:val="num" w:pos="926"/>
      </w:tabs>
      <w:outlineLvl w:val="2"/>
    </w:pPr>
    <w:rPr>
      <w:sz w:val="24"/>
    </w:rPr>
  </w:style>
  <w:style w:type="paragraph" w:styleId="Nadpis4">
    <w:name w:val="heading 4"/>
    <w:aliases w:val="MMM: Nadpis 4"/>
    <w:basedOn w:val="Nadpis3"/>
    <w:next w:val="Normln"/>
    <w:link w:val="Nadpis4Char"/>
    <w:uiPriority w:val="99"/>
    <w:qFormat/>
    <w:rsid w:val="00D15772"/>
    <w:pPr>
      <w:numPr>
        <w:ilvl w:val="3"/>
      </w:numPr>
      <w:tabs>
        <w:tab w:val="left" w:pos="862"/>
      </w:tabs>
      <w:outlineLvl w:val="3"/>
    </w:pPr>
    <w:rPr>
      <w:b w:val="0"/>
    </w:rPr>
  </w:style>
  <w:style w:type="paragraph" w:styleId="Nadpis5">
    <w:name w:val="heading 5"/>
    <w:basedOn w:val="Normln"/>
    <w:next w:val="Normln"/>
    <w:link w:val="Nadpis5Char"/>
    <w:uiPriority w:val="99"/>
    <w:qFormat/>
    <w:rsid w:val="00D15772"/>
    <w:pPr>
      <w:keepNext/>
      <w:outlineLvl w:val="4"/>
    </w:pPr>
    <w:rPr>
      <w:b/>
    </w:rPr>
  </w:style>
  <w:style w:type="paragraph" w:styleId="Nadpis6">
    <w:name w:val="heading 6"/>
    <w:basedOn w:val="Normln"/>
    <w:next w:val="Normln"/>
    <w:link w:val="Nadpis6Char"/>
    <w:uiPriority w:val="99"/>
    <w:qFormat/>
    <w:rsid w:val="00D15772"/>
    <w:pPr>
      <w:keepNext/>
      <w:outlineLvl w:val="5"/>
    </w:pPr>
    <w:rPr>
      <w:b/>
      <w:bCs/>
      <w:sz w:val="28"/>
      <w:lang w:val="en-GB"/>
    </w:rPr>
  </w:style>
  <w:style w:type="paragraph" w:styleId="Nadpis7">
    <w:name w:val="heading 7"/>
    <w:basedOn w:val="Normln"/>
    <w:next w:val="Normln"/>
    <w:link w:val="Nadpis7Char"/>
    <w:uiPriority w:val="99"/>
    <w:qFormat/>
    <w:rsid w:val="00D15772"/>
    <w:pPr>
      <w:spacing w:before="240" w:after="60"/>
      <w:outlineLvl w:val="6"/>
    </w:pPr>
  </w:style>
  <w:style w:type="paragraph" w:styleId="Nadpis8">
    <w:name w:val="heading 8"/>
    <w:basedOn w:val="Normln"/>
    <w:next w:val="Normln"/>
    <w:link w:val="Nadpis8Char"/>
    <w:uiPriority w:val="99"/>
    <w:qFormat/>
    <w:rsid w:val="00D15772"/>
    <w:pPr>
      <w:spacing w:before="240" w:after="60"/>
      <w:outlineLvl w:val="7"/>
    </w:pPr>
    <w:rPr>
      <w:i/>
      <w:iCs/>
    </w:rPr>
  </w:style>
  <w:style w:type="paragraph" w:styleId="Nadpis9">
    <w:name w:val="heading 9"/>
    <w:basedOn w:val="Normln"/>
    <w:next w:val="Normln"/>
    <w:link w:val="Nadpis9Char"/>
    <w:uiPriority w:val="99"/>
    <w:qFormat/>
    <w:rsid w:val="00D1577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MM: Nadpis 1 Char,1_Nadpis 1 Char,Nadpis 1Barča Char"/>
    <w:basedOn w:val="Standardnpsmoodstavce"/>
    <w:link w:val="Nadpis1"/>
    <w:uiPriority w:val="99"/>
    <w:locked/>
    <w:rsid w:val="00D15772"/>
    <w:rPr>
      <w:rFonts w:ascii="Times New Roman" w:hAnsi="Times New Roman" w:cs="Times New Roman"/>
      <w:b/>
      <w:bCs/>
      <w:kern w:val="32"/>
      <w:sz w:val="32"/>
      <w:szCs w:val="32"/>
    </w:rPr>
  </w:style>
  <w:style w:type="character" w:customStyle="1" w:styleId="Nadpis2Char">
    <w:name w:val="Nadpis 2 Char"/>
    <w:aliases w:val="MMM Nadpis 2 Char,Nadpis_2 Char"/>
    <w:basedOn w:val="Standardnpsmoodstavce"/>
    <w:link w:val="Nadpis2"/>
    <w:uiPriority w:val="99"/>
    <w:locked/>
    <w:rsid w:val="00D15772"/>
    <w:rPr>
      <w:rFonts w:ascii="Arial" w:hAnsi="Arial" w:cs="Arial"/>
      <w:b/>
      <w:sz w:val="44"/>
      <w:szCs w:val="44"/>
      <w:lang w:eastAsia="cs-CZ"/>
    </w:rPr>
  </w:style>
  <w:style w:type="character" w:customStyle="1" w:styleId="Nadpis3Char">
    <w:name w:val="Nadpis 3 Char"/>
    <w:basedOn w:val="Standardnpsmoodstavce"/>
    <w:link w:val="Nadpis3"/>
    <w:uiPriority w:val="99"/>
    <w:locked/>
    <w:rsid w:val="00D15772"/>
    <w:rPr>
      <w:rFonts w:ascii="Times New Roman" w:eastAsia="Times New Roman" w:hAnsi="Times New Roman"/>
      <w:b/>
      <w:bCs/>
      <w:sz w:val="24"/>
      <w:szCs w:val="20"/>
    </w:rPr>
  </w:style>
  <w:style w:type="character" w:customStyle="1" w:styleId="Nadpis4Char">
    <w:name w:val="Nadpis 4 Char"/>
    <w:aliases w:val="MMM: Nadpis 4 Char"/>
    <w:basedOn w:val="Standardnpsmoodstavce"/>
    <w:link w:val="Nadpis4"/>
    <w:uiPriority w:val="99"/>
    <w:locked/>
    <w:rsid w:val="00D15772"/>
    <w:rPr>
      <w:rFonts w:ascii="Times New Roman" w:eastAsia="Times New Roman" w:hAnsi="Times New Roman"/>
      <w:bCs/>
      <w:sz w:val="24"/>
      <w:szCs w:val="20"/>
    </w:rPr>
  </w:style>
  <w:style w:type="character" w:customStyle="1" w:styleId="Nadpis5Char">
    <w:name w:val="Nadpis 5 Char"/>
    <w:basedOn w:val="Standardnpsmoodstavce"/>
    <w:link w:val="Nadpis5"/>
    <w:uiPriority w:val="99"/>
    <w:locked/>
    <w:rsid w:val="00D15772"/>
    <w:rPr>
      <w:rFonts w:ascii="Times New Roman" w:hAnsi="Times New Roman" w:cs="Times New Roman"/>
      <w:b/>
      <w:sz w:val="24"/>
      <w:szCs w:val="24"/>
      <w:lang w:eastAsia="cs-CZ"/>
    </w:rPr>
  </w:style>
  <w:style w:type="character" w:customStyle="1" w:styleId="Nadpis6Char">
    <w:name w:val="Nadpis 6 Char"/>
    <w:basedOn w:val="Standardnpsmoodstavce"/>
    <w:link w:val="Nadpis6"/>
    <w:uiPriority w:val="99"/>
    <w:locked/>
    <w:rsid w:val="00D15772"/>
    <w:rPr>
      <w:rFonts w:ascii="Times New Roman" w:hAnsi="Times New Roman" w:cs="Times New Roman"/>
      <w:b/>
      <w:bCs/>
      <w:sz w:val="24"/>
      <w:szCs w:val="24"/>
      <w:lang w:val="en-GB" w:eastAsia="cs-CZ"/>
    </w:rPr>
  </w:style>
  <w:style w:type="character" w:customStyle="1" w:styleId="Nadpis7Char">
    <w:name w:val="Nadpis 7 Char"/>
    <w:basedOn w:val="Standardnpsmoodstavce"/>
    <w:link w:val="Nadpis7"/>
    <w:uiPriority w:val="99"/>
    <w:locked/>
    <w:rsid w:val="00D15772"/>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locked/>
    <w:rsid w:val="00D15772"/>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9"/>
    <w:locked/>
    <w:rsid w:val="00D15772"/>
    <w:rPr>
      <w:rFonts w:ascii="Arial" w:hAnsi="Arial" w:cs="Arial"/>
      <w:lang w:eastAsia="cs-CZ"/>
    </w:rPr>
  </w:style>
  <w:style w:type="paragraph" w:styleId="Textbubliny">
    <w:name w:val="Balloon Text"/>
    <w:basedOn w:val="Normln"/>
    <w:link w:val="TextbublinyChar"/>
    <w:uiPriority w:val="99"/>
    <w:semiHidden/>
    <w:rsid w:val="00D15772"/>
    <w:rPr>
      <w:rFonts w:ascii="Tahoma" w:hAnsi="Tahoma"/>
      <w:sz w:val="16"/>
      <w:szCs w:val="16"/>
    </w:rPr>
  </w:style>
  <w:style w:type="character" w:customStyle="1" w:styleId="TextbublinyChar">
    <w:name w:val="Text bubliny Char"/>
    <w:basedOn w:val="Standardnpsmoodstavce"/>
    <w:link w:val="Textbubliny"/>
    <w:uiPriority w:val="99"/>
    <w:semiHidden/>
    <w:locked/>
    <w:rsid w:val="00D15772"/>
    <w:rPr>
      <w:rFonts w:ascii="Tahoma" w:hAnsi="Tahoma" w:cs="Times New Roman"/>
      <w:sz w:val="16"/>
      <w:szCs w:val="16"/>
    </w:rPr>
  </w:style>
  <w:style w:type="paragraph" w:customStyle="1" w:styleId="Zkladntext21">
    <w:name w:val="Základní text 21"/>
    <w:basedOn w:val="Normln"/>
    <w:uiPriority w:val="99"/>
    <w:semiHidden/>
    <w:rsid w:val="00D15772"/>
    <w:pPr>
      <w:overflowPunct w:val="0"/>
      <w:autoSpaceDE w:val="0"/>
      <w:autoSpaceDN w:val="0"/>
      <w:adjustRightInd w:val="0"/>
      <w:ind w:firstLine="708"/>
      <w:textAlignment w:val="baseline"/>
    </w:pPr>
    <w:rPr>
      <w:rFonts w:ascii="Arial" w:hAnsi="Arial"/>
      <w:color w:val="FF0000"/>
      <w:sz w:val="20"/>
      <w:szCs w:val="20"/>
    </w:rPr>
  </w:style>
  <w:style w:type="character" w:styleId="Odkaznakoment">
    <w:name w:val="annotation reference"/>
    <w:basedOn w:val="Standardnpsmoodstavce"/>
    <w:uiPriority w:val="99"/>
    <w:rsid w:val="00D15772"/>
    <w:rPr>
      <w:rFonts w:cs="Times New Roman"/>
      <w:sz w:val="16"/>
    </w:rPr>
  </w:style>
  <w:style w:type="paragraph" w:styleId="Zhlav">
    <w:name w:val="header"/>
    <w:basedOn w:val="Normln"/>
    <w:link w:val="ZhlavChar"/>
    <w:uiPriority w:val="99"/>
    <w:rsid w:val="00D15772"/>
    <w:pPr>
      <w:tabs>
        <w:tab w:val="center" w:pos="4536"/>
        <w:tab w:val="right" w:pos="9072"/>
      </w:tabs>
    </w:pPr>
  </w:style>
  <w:style w:type="character" w:customStyle="1" w:styleId="ZhlavChar">
    <w:name w:val="Záhlaví Char"/>
    <w:basedOn w:val="Standardnpsmoodstavce"/>
    <w:link w:val="Zhlav"/>
    <w:uiPriority w:val="99"/>
    <w:locked/>
    <w:rsid w:val="00D15772"/>
    <w:rPr>
      <w:rFonts w:ascii="Times New Roman" w:hAnsi="Times New Roman" w:cs="Times New Roman"/>
      <w:sz w:val="24"/>
      <w:szCs w:val="24"/>
    </w:rPr>
  </w:style>
  <w:style w:type="paragraph" w:styleId="Zpat">
    <w:name w:val="footer"/>
    <w:basedOn w:val="Normln"/>
    <w:link w:val="ZpatChar"/>
    <w:uiPriority w:val="99"/>
    <w:rsid w:val="00D15772"/>
    <w:pPr>
      <w:tabs>
        <w:tab w:val="center" w:pos="4536"/>
        <w:tab w:val="right" w:pos="9072"/>
      </w:tabs>
    </w:pPr>
  </w:style>
  <w:style w:type="character" w:customStyle="1" w:styleId="ZpatChar">
    <w:name w:val="Zápatí Char"/>
    <w:basedOn w:val="Standardnpsmoodstavce"/>
    <w:link w:val="Zpat"/>
    <w:uiPriority w:val="99"/>
    <w:locked/>
    <w:rsid w:val="00D15772"/>
    <w:rPr>
      <w:rFonts w:ascii="Times New Roman" w:hAnsi="Times New Roman" w:cs="Times New Roman"/>
      <w:sz w:val="24"/>
      <w:szCs w:val="24"/>
    </w:rPr>
  </w:style>
  <w:style w:type="character" w:styleId="Siln">
    <w:name w:val="Strong"/>
    <w:basedOn w:val="Standardnpsmoodstavce"/>
    <w:uiPriority w:val="99"/>
    <w:qFormat/>
    <w:rsid w:val="00D15772"/>
    <w:rPr>
      <w:rFonts w:cs="Times New Roman"/>
      <w:b/>
    </w:rPr>
  </w:style>
  <w:style w:type="paragraph" w:customStyle="1" w:styleId="NormlnsWWW">
    <w:name w:val="Normální (síť WWW)"/>
    <w:basedOn w:val="Normln"/>
    <w:uiPriority w:val="99"/>
    <w:semiHidden/>
    <w:rsid w:val="00D15772"/>
    <w:pPr>
      <w:spacing w:before="100" w:beforeAutospacing="1" w:after="100" w:afterAutospacing="1"/>
    </w:pPr>
    <w:rPr>
      <w:rFonts w:ascii="Arial Unicode MS" w:eastAsia="Calibri" w:hAnsi="Arial Unicode MS" w:cs="Arial Unicode MS"/>
    </w:rPr>
  </w:style>
  <w:style w:type="paragraph" w:customStyle="1" w:styleId="Odrky">
    <w:name w:val="Odrážky"/>
    <w:basedOn w:val="Normlnodsazen"/>
    <w:uiPriority w:val="99"/>
    <w:semiHidden/>
    <w:rsid w:val="00D15772"/>
    <w:pPr>
      <w:numPr>
        <w:numId w:val="15"/>
      </w:numPr>
      <w:spacing w:after="120"/>
    </w:pPr>
    <w:rPr>
      <w:rFonts w:ascii="Arial" w:hAnsi="Arial"/>
      <w:szCs w:val="20"/>
    </w:rPr>
  </w:style>
  <w:style w:type="paragraph" w:styleId="Normlnodsazen">
    <w:name w:val="Normal Indent"/>
    <w:basedOn w:val="Normln"/>
    <w:uiPriority w:val="99"/>
    <w:semiHidden/>
    <w:rsid w:val="00D15772"/>
    <w:pPr>
      <w:ind w:left="708"/>
    </w:pPr>
  </w:style>
  <w:style w:type="paragraph" w:customStyle="1" w:styleId="normalK">
    <w:name w:val="normal K"/>
    <w:uiPriority w:val="99"/>
    <w:semiHidden/>
    <w:rsid w:val="00D15772"/>
    <w:pPr>
      <w:jc w:val="both"/>
    </w:pPr>
    <w:rPr>
      <w:rFonts w:ascii="Times New Roman" w:eastAsia="Times New Roman" w:hAnsi="Times New Roman"/>
      <w:sz w:val="24"/>
      <w:szCs w:val="20"/>
    </w:rPr>
  </w:style>
  <w:style w:type="paragraph" w:styleId="Textkomente">
    <w:name w:val="annotation text"/>
    <w:basedOn w:val="Normln"/>
    <w:link w:val="TextkomenteChar"/>
    <w:uiPriority w:val="99"/>
    <w:rsid w:val="00D15772"/>
    <w:rPr>
      <w:sz w:val="20"/>
      <w:szCs w:val="20"/>
    </w:rPr>
  </w:style>
  <w:style w:type="character" w:customStyle="1" w:styleId="TextkomenteChar">
    <w:name w:val="Text komentáře Char"/>
    <w:basedOn w:val="Standardnpsmoodstavce"/>
    <w:link w:val="Textkomente"/>
    <w:uiPriority w:val="99"/>
    <w:locked/>
    <w:rsid w:val="00D15772"/>
    <w:rPr>
      <w:rFonts w:ascii="Times New Roman" w:hAnsi="Times New Roman" w:cs="Times New Roman"/>
      <w:sz w:val="20"/>
      <w:lang w:eastAsia="cs-CZ"/>
    </w:rPr>
  </w:style>
  <w:style w:type="paragraph" w:styleId="AdresaHTML">
    <w:name w:val="HTML Address"/>
    <w:basedOn w:val="Normln"/>
    <w:link w:val="AdresaHTMLChar"/>
    <w:uiPriority w:val="99"/>
    <w:semiHidden/>
    <w:rsid w:val="00D15772"/>
    <w:rPr>
      <w:i/>
      <w:iCs/>
    </w:rPr>
  </w:style>
  <w:style w:type="character" w:customStyle="1" w:styleId="AdresaHTMLChar">
    <w:name w:val="Adresa HTML Char"/>
    <w:basedOn w:val="Standardnpsmoodstavce"/>
    <w:link w:val="AdresaHTML"/>
    <w:uiPriority w:val="99"/>
    <w:semiHidden/>
    <w:locked/>
    <w:rsid w:val="00D15772"/>
    <w:rPr>
      <w:rFonts w:ascii="Times New Roman" w:hAnsi="Times New Roman" w:cs="Times New Roman"/>
      <w:i/>
      <w:iCs/>
      <w:sz w:val="24"/>
      <w:szCs w:val="24"/>
    </w:rPr>
  </w:style>
  <w:style w:type="paragraph" w:styleId="Adresanaoblku">
    <w:name w:val="envelope address"/>
    <w:basedOn w:val="Normln"/>
    <w:uiPriority w:val="99"/>
    <w:semiHidden/>
    <w:rsid w:val="00D15772"/>
    <w:pPr>
      <w:framePr w:w="7920" w:h="1980" w:hRule="exact" w:hSpace="141" w:wrap="auto" w:hAnchor="page" w:xAlign="center" w:yAlign="bottom"/>
      <w:ind w:left="2880"/>
    </w:pPr>
    <w:rPr>
      <w:rFonts w:ascii="Arial" w:hAnsi="Arial" w:cs="Arial"/>
    </w:rPr>
  </w:style>
  <w:style w:type="paragraph" w:styleId="slovanseznam">
    <w:name w:val="List Number"/>
    <w:basedOn w:val="Normln"/>
    <w:uiPriority w:val="99"/>
    <w:semiHidden/>
    <w:rsid w:val="00D15772"/>
    <w:pPr>
      <w:numPr>
        <w:numId w:val="1"/>
      </w:numPr>
    </w:pPr>
  </w:style>
  <w:style w:type="paragraph" w:styleId="slovanseznam2">
    <w:name w:val="List Number 2"/>
    <w:basedOn w:val="Normln"/>
    <w:uiPriority w:val="99"/>
    <w:semiHidden/>
    <w:rsid w:val="00D15772"/>
    <w:pPr>
      <w:numPr>
        <w:numId w:val="2"/>
      </w:numPr>
    </w:pPr>
  </w:style>
  <w:style w:type="paragraph" w:styleId="slovanseznam3">
    <w:name w:val="List Number 3"/>
    <w:basedOn w:val="Normln"/>
    <w:uiPriority w:val="99"/>
    <w:semiHidden/>
    <w:rsid w:val="00D15772"/>
    <w:pPr>
      <w:numPr>
        <w:numId w:val="3"/>
      </w:numPr>
    </w:pPr>
  </w:style>
  <w:style w:type="paragraph" w:styleId="slovanseznam4">
    <w:name w:val="List Number 4"/>
    <w:basedOn w:val="Normln"/>
    <w:uiPriority w:val="99"/>
    <w:semiHidden/>
    <w:rsid w:val="00D15772"/>
    <w:pPr>
      <w:numPr>
        <w:numId w:val="4"/>
      </w:numPr>
    </w:pPr>
  </w:style>
  <w:style w:type="paragraph" w:styleId="slovanseznam5">
    <w:name w:val="List Number 5"/>
    <w:basedOn w:val="Normln"/>
    <w:uiPriority w:val="99"/>
    <w:semiHidden/>
    <w:rsid w:val="00D15772"/>
    <w:pPr>
      <w:numPr>
        <w:numId w:val="5"/>
      </w:numPr>
    </w:pPr>
  </w:style>
  <w:style w:type="paragraph" w:styleId="Datum">
    <w:name w:val="Date"/>
    <w:basedOn w:val="Normln"/>
    <w:next w:val="Normln"/>
    <w:link w:val="DatumChar"/>
    <w:uiPriority w:val="99"/>
    <w:semiHidden/>
    <w:rsid w:val="00D15772"/>
  </w:style>
  <w:style w:type="character" w:customStyle="1" w:styleId="DatumChar">
    <w:name w:val="Datum Char"/>
    <w:basedOn w:val="Standardnpsmoodstavce"/>
    <w:link w:val="Datum"/>
    <w:uiPriority w:val="99"/>
    <w:semiHidden/>
    <w:locked/>
    <w:rsid w:val="00D15772"/>
    <w:rPr>
      <w:rFonts w:ascii="Times New Roman" w:hAnsi="Times New Roman" w:cs="Times New Roman"/>
      <w:sz w:val="24"/>
      <w:szCs w:val="24"/>
    </w:rPr>
  </w:style>
  <w:style w:type="paragraph" w:styleId="FormtovanvHTML">
    <w:name w:val="HTML Preformatted"/>
    <w:basedOn w:val="Normln"/>
    <w:link w:val="FormtovanvHTMLChar"/>
    <w:uiPriority w:val="99"/>
    <w:semiHidden/>
    <w:rsid w:val="00D15772"/>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D15772"/>
    <w:rPr>
      <w:rFonts w:ascii="Courier New" w:hAnsi="Courier New" w:cs="Times New Roman"/>
      <w:sz w:val="20"/>
      <w:szCs w:val="20"/>
    </w:rPr>
  </w:style>
  <w:style w:type="paragraph" w:styleId="Hlavikaobsahu">
    <w:name w:val="toa heading"/>
    <w:basedOn w:val="Normln"/>
    <w:next w:val="Normln"/>
    <w:uiPriority w:val="99"/>
    <w:semiHidden/>
    <w:rsid w:val="00D15772"/>
    <w:pPr>
      <w:spacing w:before="120"/>
    </w:pPr>
    <w:rPr>
      <w:rFonts w:ascii="Arial" w:hAnsi="Arial" w:cs="Arial"/>
      <w:b/>
      <w:bCs/>
    </w:rPr>
  </w:style>
  <w:style w:type="paragraph" w:styleId="Rejstk1">
    <w:name w:val="index 1"/>
    <w:basedOn w:val="Normln"/>
    <w:next w:val="Normln"/>
    <w:autoRedefine/>
    <w:uiPriority w:val="99"/>
    <w:semiHidden/>
    <w:rsid w:val="00D15772"/>
    <w:pPr>
      <w:ind w:left="240" w:hanging="240"/>
    </w:pPr>
  </w:style>
  <w:style w:type="paragraph" w:styleId="Hlavikarejstku">
    <w:name w:val="index heading"/>
    <w:basedOn w:val="Normln"/>
    <w:next w:val="Rejstk1"/>
    <w:uiPriority w:val="99"/>
    <w:semiHidden/>
    <w:rsid w:val="00D15772"/>
    <w:rPr>
      <w:rFonts w:ascii="Arial" w:hAnsi="Arial" w:cs="Arial"/>
      <w:b/>
      <w:bCs/>
    </w:rPr>
  </w:style>
  <w:style w:type="paragraph" w:styleId="Nadpispoznmky">
    <w:name w:val="Note Heading"/>
    <w:basedOn w:val="Normln"/>
    <w:next w:val="Normln"/>
    <w:link w:val="NadpispoznmkyChar"/>
    <w:uiPriority w:val="99"/>
    <w:semiHidden/>
    <w:rsid w:val="00D15772"/>
  </w:style>
  <w:style w:type="character" w:customStyle="1" w:styleId="NadpispoznmkyChar">
    <w:name w:val="Nadpis poznámky Char"/>
    <w:basedOn w:val="Standardnpsmoodstavce"/>
    <w:link w:val="Nadpispoznmky"/>
    <w:uiPriority w:val="99"/>
    <w:semiHidden/>
    <w:locked/>
    <w:rsid w:val="00D15772"/>
    <w:rPr>
      <w:rFonts w:ascii="Times New Roman" w:hAnsi="Times New Roman" w:cs="Times New Roman"/>
      <w:sz w:val="24"/>
      <w:szCs w:val="24"/>
    </w:rPr>
  </w:style>
  <w:style w:type="paragraph" w:styleId="Obsah1">
    <w:name w:val="toc 1"/>
    <w:basedOn w:val="Normln"/>
    <w:next w:val="Normln"/>
    <w:autoRedefine/>
    <w:uiPriority w:val="99"/>
    <w:rsid w:val="00407000"/>
    <w:pPr>
      <w:tabs>
        <w:tab w:val="left" w:pos="1080"/>
        <w:tab w:val="right" w:leader="dot" w:pos="9061"/>
      </w:tabs>
      <w:ind w:left="482" w:hanging="482"/>
      <w:jc w:val="left"/>
    </w:pPr>
    <w:rPr>
      <w:rFonts w:cs="Arial"/>
      <w:bCs/>
      <w:noProof/>
      <w:kern w:val="32"/>
    </w:rPr>
  </w:style>
  <w:style w:type="paragraph" w:styleId="Obsah2">
    <w:name w:val="toc 2"/>
    <w:basedOn w:val="Normln"/>
    <w:next w:val="Normln"/>
    <w:autoRedefine/>
    <w:uiPriority w:val="99"/>
    <w:rsid w:val="00D15772"/>
    <w:pPr>
      <w:tabs>
        <w:tab w:val="left" w:pos="482"/>
        <w:tab w:val="left" w:pos="992"/>
        <w:tab w:val="right" w:leader="dot" w:pos="9060"/>
      </w:tabs>
      <w:ind w:left="964" w:hanging="482"/>
      <w:jc w:val="left"/>
    </w:pPr>
  </w:style>
  <w:style w:type="paragraph" w:styleId="Obsah3">
    <w:name w:val="toc 3"/>
    <w:basedOn w:val="Normln"/>
    <w:next w:val="Normln"/>
    <w:autoRedefine/>
    <w:uiPriority w:val="99"/>
    <w:rsid w:val="00D15772"/>
    <w:pPr>
      <w:tabs>
        <w:tab w:val="left" w:leader="dot" w:pos="992"/>
        <w:tab w:val="left" w:pos="1729"/>
        <w:tab w:val="right" w:leader="dot" w:pos="9060"/>
      </w:tabs>
      <w:ind w:left="1757" w:hanging="765"/>
      <w:jc w:val="left"/>
    </w:pPr>
  </w:style>
  <w:style w:type="paragraph" w:styleId="Obsah4">
    <w:name w:val="toc 4"/>
    <w:basedOn w:val="Normln"/>
    <w:next w:val="Normln"/>
    <w:autoRedefine/>
    <w:uiPriority w:val="99"/>
    <w:semiHidden/>
    <w:rsid w:val="00D15772"/>
    <w:pPr>
      <w:ind w:left="720"/>
    </w:pPr>
  </w:style>
  <w:style w:type="paragraph" w:styleId="Obsah5">
    <w:name w:val="toc 5"/>
    <w:basedOn w:val="Normln"/>
    <w:next w:val="Normln"/>
    <w:autoRedefine/>
    <w:uiPriority w:val="99"/>
    <w:semiHidden/>
    <w:rsid w:val="00D15772"/>
    <w:pPr>
      <w:ind w:left="960"/>
    </w:pPr>
  </w:style>
  <w:style w:type="paragraph" w:styleId="Obsah6">
    <w:name w:val="toc 6"/>
    <w:basedOn w:val="Normln"/>
    <w:next w:val="Normln"/>
    <w:autoRedefine/>
    <w:uiPriority w:val="99"/>
    <w:semiHidden/>
    <w:rsid w:val="00D15772"/>
    <w:pPr>
      <w:ind w:left="1200"/>
    </w:pPr>
  </w:style>
  <w:style w:type="paragraph" w:styleId="Obsah7">
    <w:name w:val="toc 7"/>
    <w:basedOn w:val="Normln"/>
    <w:next w:val="Normln"/>
    <w:autoRedefine/>
    <w:uiPriority w:val="99"/>
    <w:semiHidden/>
    <w:rsid w:val="00D15772"/>
    <w:pPr>
      <w:ind w:left="1440"/>
    </w:pPr>
  </w:style>
  <w:style w:type="paragraph" w:styleId="Obsah8">
    <w:name w:val="toc 8"/>
    <w:basedOn w:val="Normln"/>
    <w:next w:val="Normln"/>
    <w:autoRedefine/>
    <w:uiPriority w:val="99"/>
    <w:semiHidden/>
    <w:rsid w:val="00D15772"/>
    <w:pPr>
      <w:ind w:left="1680"/>
    </w:pPr>
  </w:style>
  <w:style w:type="paragraph" w:styleId="Obsah9">
    <w:name w:val="toc 9"/>
    <w:basedOn w:val="Normln"/>
    <w:next w:val="Normln"/>
    <w:autoRedefine/>
    <w:uiPriority w:val="99"/>
    <w:semiHidden/>
    <w:rsid w:val="00D15772"/>
    <w:pPr>
      <w:ind w:left="1920"/>
    </w:pPr>
  </w:style>
  <w:style w:type="paragraph" w:styleId="Osloven">
    <w:name w:val="Salutation"/>
    <w:basedOn w:val="Normln"/>
    <w:next w:val="Normln"/>
    <w:link w:val="OslovenChar"/>
    <w:uiPriority w:val="99"/>
    <w:semiHidden/>
    <w:rsid w:val="00D15772"/>
  </w:style>
  <w:style w:type="character" w:customStyle="1" w:styleId="OslovenChar">
    <w:name w:val="Oslovení Char"/>
    <w:basedOn w:val="Standardnpsmoodstavce"/>
    <w:link w:val="Osloven"/>
    <w:uiPriority w:val="99"/>
    <w:semiHidden/>
    <w:locked/>
    <w:rsid w:val="00D15772"/>
    <w:rPr>
      <w:rFonts w:ascii="Times New Roman" w:hAnsi="Times New Roman" w:cs="Times New Roman"/>
      <w:sz w:val="24"/>
      <w:szCs w:val="24"/>
    </w:rPr>
  </w:style>
  <w:style w:type="paragraph" w:styleId="Podpis">
    <w:name w:val="Signature"/>
    <w:basedOn w:val="Normln"/>
    <w:link w:val="PodpisChar"/>
    <w:uiPriority w:val="99"/>
    <w:semiHidden/>
    <w:rsid w:val="00D15772"/>
    <w:pPr>
      <w:ind w:left="4252"/>
    </w:pPr>
  </w:style>
  <w:style w:type="character" w:customStyle="1" w:styleId="PodpisChar">
    <w:name w:val="Podpis Char"/>
    <w:basedOn w:val="Standardnpsmoodstavce"/>
    <w:link w:val="Podpis"/>
    <w:uiPriority w:val="99"/>
    <w:semiHidden/>
    <w:locked/>
    <w:rsid w:val="00D15772"/>
    <w:rPr>
      <w:rFonts w:ascii="Times New Roman" w:hAnsi="Times New Roman" w:cs="Times New Roman"/>
      <w:sz w:val="24"/>
      <w:szCs w:val="24"/>
    </w:rPr>
  </w:style>
  <w:style w:type="paragraph" w:styleId="Podpise-mailu">
    <w:name w:val="E-mail Signature"/>
    <w:basedOn w:val="Normln"/>
    <w:link w:val="Podpise-mailuChar"/>
    <w:uiPriority w:val="99"/>
    <w:semiHidden/>
    <w:rsid w:val="00D15772"/>
  </w:style>
  <w:style w:type="character" w:customStyle="1" w:styleId="Podpise-mailuChar">
    <w:name w:val="Podpis e-mailu Char"/>
    <w:basedOn w:val="Standardnpsmoodstavce"/>
    <w:link w:val="Podpise-mailu"/>
    <w:uiPriority w:val="99"/>
    <w:semiHidden/>
    <w:locked/>
    <w:rsid w:val="00D15772"/>
    <w:rPr>
      <w:rFonts w:ascii="Times New Roman" w:hAnsi="Times New Roman" w:cs="Times New Roman"/>
      <w:sz w:val="24"/>
      <w:szCs w:val="24"/>
    </w:rPr>
  </w:style>
  <w:style w:type="paragraph" w:styleId="Pokraovnseznamu">
    <w:name w:val="List Continue"/>
    <w:basedOn w:val="Normln"/>
    <w:uiPriority w:val="99"/>
    <w:semiHidden/>
    <w:rsid w:val="00D15772"/>
    <w:pPr>
      <w:spacing w:after="120"/>
      <w:ind w:left="283"/>
    </w:pPr>
  </w:style>
  <w:style w:type="paragraph" w:styleId="Pokraovnseznamu2">
    <w:name w:val="List Continue 2"/>
    <w:basedOn w:val="Normln"/>
    <w:uiPriority w:val="99"/>
    <w:semiHidden/>
    <w:rsid w:val="00D15772"/>
    <w:pPr>
      <w:spacing w:after="120"/>
      <w:ind w:left="566"/>
    </w:pPr>
  </w:style>
  <w:style w:type="paragraph" w:styleId="Pokraovnseznamu3">
    <w:name w:val="List Continue 3"/>
    <w:basedOn w:val="Normln"/>
    <w:uiPriority w:val="99"/>
    <w:semiHidden/>
    <w:rsid w:val="00D15772"/>
    <w:pPr>
      <w:spacing w:after="120"/>
      <w:ind w:left="849"/>
    </w:pPr>
  </w:style>
  <w:style w:type="paragraph" w:styleId="Pokraovnseznamu4">
    <w:name w:val="List Continue 4"/>
    <w:basedOn w:val="Normln"/>
    <w:uiPriority w:val="99"/>
    <w:semiHidden/>
    <w:rsid w:val="00D15772"/>
    <w:pPr>
      <w:spacing w:after="120"/>
      <w:ind w:left="1132"/>
    </w:pPr>
  </w:style>
  <w:style w:type="paragraph" w:styleId="Pokraovnseznamu5">
    <w:name w:val="List Continue 5"/>
    <w:basedOn w:val="Normln"/>
    <w:uiPriority w:val="99"/>
    <w:semiHidden/>
    <w:rsid w:val="00D15772"/>
    <w:pPr>
      <w:spacing w:after="120"/>
      <w:ind w:left="1415"/>
    </w:pPr>
  </w:style>
  <w:style w:type="paragraph" w:styleId="Prosttext">
    <w:name w:val="Plain Text"/>
    <w:basedOn w:val="Normln"/>
    <w:link w:val="ProsttextChar"/>
    <w:uiPriority w:val="99"/>
    <w:semiHidden/>
    <w:rsid w:val="00D15772"/>
    <w:rPr>
      <w:rFonts w:ascii="Courier New" w:hAnsi="Courier New"/>
      <w:sz w:val="20"/>
      <w:szCs w:val="20"/>
    </w:rPr>
  </w:style>
  <w:style w:type="character" w:customStyle="1" w:styleId="ProsttextChar">
    <w:name w:val="Prostý text Char"/>
    <w:basedOn w:val="Standardnpsmoodstavce"/>
    <w:link w:val="Prosttext"/>
    <w:uiPriority w:val="99"/>
    <w:semiHidden/>
    <w:locked/>
    <w:rsid w:val="00D15772"/>
    <w:rPr>
      <w:rFonts w:ascii="Courier New" w:hAnsi="Courier New" w:cs="Times New Roman"/>
      <w:sz w:val="20"/>
      <w:szCs w:val="20"/>
    </w:rPr>
  </w:style>
  <w:style w:type="paragraph" w:styleId="Pedmtkomente">
    <w:name w:val="annotation subject"/>
    <w:basedOn w:val="Normln"/>
    <w:link w:val="PedmtkomenteChar"/>
    <w:uiPriority w:val="99"/>
    <w:semiHidden/>
    <w:rsid w:val="00D15772"/>
    <w:rPr>
      <w:b/>
      <w:bCs/>
      <w:sz w:val="20"/>
      <w:szCs w:val="20"/>
    </w:rPr>
  </w:style>
  <w:style w:type="character" w:customStyle="1" w:styleId="PedmtkomenteChar">
    <w:name w:val="Předmět komentáře Char"/>
    <w:basedOn w:val="Standardnpsmoodstavce"/>
    <w:link w:val="Pedmtkomente"/>
    <w:uiPriority w:val="99"/>
    <w:semiHidden/>
    <w:locked/>
    <w:rsid w:val="00AD01FB"/>
    <w:rPr>
      <w:rFonts w:cs="Times New Roman"/>
      <w:b/>
      <w:bCs/>
    </w:rPr>
  </w:style>
  <w:style w:type="paragraph" w:styleId="Rejstk2">
    <w:name w:val="index 2"/>
    <w:basedOn w:val="Normln"/>
    <w:next w:val="Normln"/>
    <w:autoRedefine/>
    <w:uiPriority w:val="99"/>
    <w:semiHidden/>
    <w:rsid w:val="00D15772"/>
    <w:pPr>
      <w:ind w:left="480" w:hanging="240"/>
    </w:pPr>
  </w:style>
  <w:style w:type="paragraph" w:styleId="Rejstk3">
    <w:name w:val="index 3"/>
    <w:basedOn w:val="Normln"/>
    <w:next w:val="Normln"/>
    <w:autoRedefine/>
    <w:uiPriority w:val="99"/>
    <w:semiHidden/>
    <w:rsid w:val="00D15772"/>
    <w:pPr>
      <w:ind w:left="720" w:hanging="240"/>
    </w:pPr>
  </w:style>
  <w:style w:type="paragraph" w:styleId="Rejstk4">
    <w:name w:val="index 4"/>
    <w:basedOn w:val="Normln"/>
    <w:next w:val="Normln"/>
    <w:autoRedefine/>
    <w:uiPriority w:val="99"/>
    <w:semiHidden/>
    <w:rsid w:val="00D15772"/>
    <w:pPr>
      <w:ind w:left="960" w:hanging="240"/>
    </w:pPr>
  </w:style>
  <w:style w:type="paragraph" w:styleId="Rejstk5">
    <w:name w:val="index 5"/>
    <w:basedOn w:val="Normln"/>
    <w:next w:val="Normln"/>
    <w:autoRedefine/>
    <w:uiPriority w:val="99"/>
    <w:semiHidden/>
    <w:rsid w:val="00D15772"/>
    <w:pPr>
      <w:ind w:left="1200" w:hanging="240"/>
    </w:pPr>
  </w:style>
  <w:style w:type="paragraph" w:styleId="Rejstk6">
    <w:name w:val="index 6"/>
    <w:basedOn w:val="Normln"/>
    <w:next w:val="Normln"/>
    <w:autoRedefine/>
    <w:uiPriority w:val="99"/>
    <w:semiHidden/>
    <w:rsid w:val="00D15772"/>
    <w:pPr>
      <w:ind w:left="1440" w:hanging="240"/>
    </w:pPr>
  </w:style>
  <w:style w:type="paragraph" w:styleId="Rejstk7">
    <w:name w:val="index 7"/>
    <w:basedOn w:val="Normln"/>
    <w:next w:val="Normln"/>
    <w:autoRedefine/>
    <w:uiPriority w:val="99"/>
    <w:semiHidden/>
    <w:rsid w:val="00D15772"/>
    <w:pPr>
      <w:ind w:left="1680" w:hanging="240"/>
    </w:pPr>
  </w:style>
  <w:style w:type="paragraph" w:styleId="Rejstk8">
    <w:name w:val="index 8"/>
    <w:basedOn w:val="Normln"/>
    <w:next w:val="Normln"/>
    <w:autoRedefine/>
    <w:uiPriority w:val="99"/>
    <w:semiHidden/>
    <w:rsid w:val="00D15772"/>
    <w:pPr>
      <w:ind w:left="1920" w:hanging="240"/>
    </w:pPr>
  </w:style>
  <w:style w:type="paragraph" w:styleId="Rejstk9">
    <w:name w:val="index 9"/>
    <w:basedOn w:val="Normln"/>
    <w:next w:val="Normln"/>
    <w:autoRedefine/>
    <w:uiPriority w:val="99"/>
    <w:semiHidden/>
    <w:rsid w:val="00D15772"/>
    <w:pPr>
      <w:ind w:left="2160" w:hanging="240"/>
    </w:pPr>
  </w:style>
  <w:style w:type="paragraph" w:styleId="Rozloendokumentu">
    <w:name w:val="Document Map"/>
    <w:basedOn w:val="Normln"/>
    <w:link w:val="RozloendokumentuChar"/>
    <w:uiPriority w:val="99"/>
    <w:semiHidden/>
    <w:rsid w:val="00D15772"/>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D15772"/>
    <w:rPr>
      <w:rFonts w:ascii="Tahoma" w:hAnsi="Tahoma" w:cs="Times New Roman"/>
      <w:sz w:val="24"/>
      <w:szCs w:val="24"/>
      <w:shd w:val="clear" w:color="auto" w:fill="000080"/>
    </w:rPr>
  </w:style>
  <w:style w:type="paragraph" w:styleId="Seznam">
    <w:name w:val="List"/>
    <w:basedOn w:val="Normln"/>
    <w:uiPriority w:val="99"/>
    <w:semiHidden/>
    <w:rsid w:val="00D15772"/>
    <w:pPr>
      <w:ind w:left="283" w:hanging="283"/>
    </w:pPr>
  </w:style>
  <w:style w:type="paragraph" w:styleId="Seznam2">
    <w:name w:val="List 2"/>
    <w:basedOn w:val="Normln"/>
    <w:uiPriority w:val="99"/>
    <w:semiHidden/>
    <w:rsid w:val="00D15772"/>
    <w:pPr>
      <w:ind w:left="566" w:hanging="283"/>
    </w:pPr>
  </w:style>
  <w:style w:type="paragraph" w:styleId="Seznam3">
    <w:name w:val="List 3"/>
    <w:basedOn w:val="Normln"/>
    <w:uiPriority w:val="99"/>
    <w:semiHidden/>
    <w:rsid w:val="00D15772"/>
    <w:pPr>
      <w:ind w:left="849" w:hanging="283"/>
    </w:pPr>
  </w:style>
  <w:style w:type="paragraph" w:styleId="Seznam4">
    <w:name w:val="List 4"/>
    <w:basedOn w:val="Normln"/>
    <w:uiPriority w:val="99"/>
    <w:semiHidden/>
    <w:rsid w:val="00D15772"/>
    <w:pPr>
      <w:ind w:left="1132" w:hanging="283"/>
    </w:pPr>
  </w:style>
  <w:style w:type="paragraph" w:styleId="Seznam5">
    <w:name w:val="List 5"/>
    <w:basedOn w:val="Normln"/>
    <w:uiPriority w:val="99"/>
    <w:semiHidden/>
    <w:rsid w:val="00D15772"/>
    <w:pPr>
      <w:ind w:left="1415" w:hanging="283"/>
    </w:pPr>
  </w:style>
  <w:style w:type="paragraph" w:styleId="Seznamcitac">
    <w:name w:val="table of authorities"/>
    <w:basedOn w:val="Normln"/>
    <w:next w:val="Normln"/>
    <w:uiPriority w:val="99"/>
    <w:semiHidden/>
    <w:rsid w:val="00D15772"/>
    <w:pPr>
      <w:ind w:left="240" w:hanging="240"/>
    </w:pPr>
  </w:style>
  <w:style w:type="paragraph" w:styleId="Textpoznpodarou">
    <w:name w:val="footnote text"/>
    <w:basedOn w:val="Normln"/>
    <w:link w:val="TextpoznpodarouChar"/>
    <w:uiPriority w:val="99"/>
    <w:rsid w:val="00D15772"/>
    <w:rPr>
      <w:sz w:val="20"/>
      <w:szCs w:val="20"/>
    </w:rPr>
  </w:style>
  <w:style w:type="character" w:customStyle="1" w:styleId="TextpoznpodarouChar">
    <w:name w:val="Text pozn. pod čarou Char"/>
    <w:basedOn w:val="Standardnpsmoodstavce"/>
    <w:link w:val="Textpoznpodarou"/>
    <w:uiPriority w:val="99"/>
    <w:locked/>
    <w:rsid w:val="00D15772"/>
    <w:rPr>
      <w:rFonts w:ascii="Times New Roman" w:hAnsi="Times New Roman" w:cs="Times New Roman"/>
      <w:sz w:val="20"/>
      <w:szCs w:val="20"/>
      <w:lang w:eastAsia="cs-CZ"/>
    </w:rPr>
  </w:style>
  <w:style w:type="paragraph" w:styleId="Seznamsodrkami">
    <w:name w:val="List Bullet"/>
    <w:basedOn w:val="Normln"/>
    <w:autoRedefine/>
    <w:uiPriority w:val="99"/>
    <w:semiHidden/>
    <w:rsid w:val="00D15772"/>
    <w:pPr>
      <w:numPr>
        <w:numId w:val="6"/>
      </w:numPr>
    </w:pPr>
  </w:style>
  <w:style w:type="paragraph" w:styleId="Seznamsodrkami2">
    <w:name w:val="List Bullet 2"/>
    <w:basedOn w:val="Normln"/>
    <w:autoRedefine/>
    <w:uiPriority w:val="99"/>
    <w:semiHidden/>
    <w:rsid w:val="00D15772"/>
    <w:pPr>
      <w:numPr>
        <w:numId w:val="7"/>
      </w:numPr>
    </w:pPr>
  </w:style>
  <w:style w:type="paragraph" w:styleId="Seznamsodrkami3">
    <w:name w:val="List Bullet 3"/>
    <w:basedOn w:val="Normln"/>
    <w:autoRedefine/>
    <w:uiPriority w:val="99"/>
    <w:semiHidden/>
    <w:rsid w:val="00D15772"/>
    <w:pPr>
      <w:numPr>
        <w:numId w:val="8"/>
      </w:numPr>
    </w:pPr>
  </w:style>
  <w:style w:type="paragraph" w:styleId="Seznamsodrkami4">
    <w:name w:val="List Bullet 4"/>
    <w:basedOn w:val="Normln"/>
    <w:autoRedefine/>
    <w:uiPriority w:val="99"/>
    <w:semiHidden/>
    <w:rsid w:val="00D15772"/>
    <w:pPr>
      <w:numPr>
        <w:numId w:val="9"/>
      </w:numPr>
    </w:pPr>
  </w:style>
  <w:style w:type="paragraph" w:styleId="Seznamsodrkami5">
    <w:name w:val="List Bullet 5"/>
    <w:basedOn w:val="Normln"/>
    <w:autoRedefine/>
    <w:uiPriority w:val="99"/>
    <w:semiHidden/>
    <w:rsid w:val="00D15772"/>
    <w:pPr>
      <w:numPr>
        <w:numId w:val="10"/>
      </w:numPr>
    </w:pPr>
  </w:style>
  <w:style w:type="paragraph" w:styleId="Textmakra">
    <w:name w:val="macro"/>
    <w:link w:val="TextmakraChar"/>
    <w:uiPriority w:val="99"/>
    <w:semiHidden/>
    <w:rsid w:val="00D1577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TextmakraChar">
    <w:name w:val="Text makra Char"/>
    <w:basedOn w:val="Standardnpsmoodstavce"/>
    <w:link w:val="Textmakra"/>
    <w:uiPriority w:val="99"/>
    <w:semiHidden/>
    <w:locked/>
    <w:rsid w:val="00D15772"/>
    <w:rPr>
      <w:rFonts w:ascii="Courier New" w:hAnsi="Courier New" w:cs="Courier New"/>
      <w:lang w:val="cs-CZ" w:eastAsia="cs-CZ" w:bidi="ar-SA"/>
    </w:rPr>
  </w:style>
  <w:style w:type="paragraph" w:styleId="Textvbloku">
    <w:name w:val="Block Text"/>
    <w:basedOn w:val="Normln"/>
    <w:uiPriority w:val="99"/>
    <w:semiHidden/>
    <w:rsid w:val="00D15772"/>
    <w:pPr>
      <w:spacing w:after="120"/>
      <w:ind w:left="1440" w:right="1440"/>
    </w:pPr>
  </w:style>
  <w:style w:type="paragraph" w:styleId="Textvysvtlivek">
    <w:name w:val="endnote text"/>
    <w:basedOn w:val="Normln"/>
    <w:link w:val="TextvysvtlivekChar"/>
    <w:uiPriority w:val="99"/>
    <w:semiHidden/>
    <w:rsid w:val="00D15772"/>
    <w:rPr>
      <w:sz w:val="20"/>
      <w:szCs w:val="20"/>
    </w:rPr>
  </w:style>
  <w:style w:type="character" w:customStyle="1" w:styleId="TextvysvtlivekChar">
    <w:name w:val="Text vysvětlivek Char"/>
    <w:basedOn w:val="Standardnpsmoodstavce"/>
    <w:link w:val="Textvysvtlivek"/>
    <w:uiPriority w:val="99"/>
    <w:semiHidden/>
    <w:locked/>
    <w:rsid w:val="00D15772"/>
    <w:rPr>
      <w:rFonts w:ascii="Times New Roman" w:hAnsi="Times New Roman" w:cs="Times New Roman"/>
      <w:sz w:val="20"/>
      <w:szCs w:val="20"/>
      <w:lang w:eastAsia="cs-CZ"/>
    </w:rPr>
  </w:style>
  <w:style w:type="character" w:customStyle="1" w:styleId="OdstavecseseznamemChar">
    <w:name w:val="Odstavec se seznamem Char"/>
    <w:aliases w:val="Odstavec_muj Char,Nad Char,_Odstavec se seznamem Char,Seznam - odrážky Char,Odstavec cíl se seznamem Char,Odstavec se seznamem5 Char"/>
    <w:link w:val="Odstavecseseznamem"/>
    <w:uiPriority w:val="99"/>
    <w:locked/>
    <w:rsid w:val="00D15772"/>
    <w:rPr>
      <w:sz w:val="24"/>
    </w:rPr>
  </w:style>
  <w:style w:type="paragraph" w:styleId="Zhlavzprvy">
    <w:name w:val="Message Header"/>
    <w:basedOn w:val="Normln"/>
    <w:link w:val="ZhlavzprvyChar"/>
    <w:uiPriority w:val="99"/>
    <w:semiHidden/>
    <w:rsid w:val="00D157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uiPriority w:val="99"/>
    <w:semiHidden/>
    <w:locked/>
    <w:rsid w:val="00D15772"/>
    <w:rPr>
      <w:rFonts w:ascii="Arial" w:hAnsi="Arial" w:cs="Times New Roman"/>
      <w:sz w:val="24"/>
      <w:szCs w:val="24"/>
      <w:shd w:val="pct20" w:color="auto" w:fill="auto"/>
    </w:rPr>
  </w:style>
  <w:style w:type="paragraph" w:styleId="Zkladntext">
    <w:name w:val="Body Text"/>
    <w:aliases w:val="termo"/>
    <w:basedOn w:val="Normln"/>
    <w:link w:val="ZkladntextChar"/>
    <w:uiPriority w:val="99"/>
    <w:semiHidden/>
    <w:rsid w:val="00D15772"/>
    <w:pPr>
      <w:spacing w:after="120"/>
    </w:pPr>
  </w:style>
  <w:style w:type="character" w:customStyle="1" w:styleId="ZkladntextChar">
    <w:name w:val="Základní text Char"/>
    <w:aliases w:val="termo Char"/>
    <w:basedOn w:val="Standardnpsmoodstavce"/>
    <w:link w:val="Zkladntext"/>
    <w:uiPriority w:val="99"/>
    <w:semiHidden/>
    <w:locked/>
    <w:rsid w:val="00D15772"/>
    <w:rPr>
      <w:rFonts w:ascii="Times New Roman" w:hAnsi="Times New Roman" w:cs="Times New Roman"/>
      <w:sz w:val="24"/>
      <w:szCs w:val="24"/>
    </w:rPr>
  </w:style>
  <w:style w:type="paragraph" w:styleId="Zkladntext-prvnodsazen">
    <w:name w:val="Body Text First Indent"/>
    <w:basedOn w:val="Zkladntext"/>
    <w:link w:val="Zkladntext-prvnodsazenChar"/>
    <w:uiPriority w:val="99"/>
    <w:semiHidden/>
    <w:rsid w:val="00D15772"/>
    <w:pPr>
      <w:ind w:firstLine="210"/>
    </w:pPr>
  </w:style>
  <w:style w:type="character" w:customStyle="1" w:styleId="Zkladntext-prvnodsazenChar">
    <w:name w:val="Základní text - první odsazený Char"/>
    <w:basedOn w:val="ZkladntextChar"/>
    <w:link w:val="Zkladntext-prvnodsazen"/>
    <w:uiPriority w:val="99"/>
    <w:semiHidden/>
    <w:locked/>
    <w:rsid w:val="00D15772"/>
    <w:rPr>
      <w:rFonts w:ascii="Times New Roman" w:hAnsi="Times New Roman" w:cs="Times New Roman"/>
      <w:sz w:val="24"/>
      <w:szCs w:val="24"/>
    </w:rPr>
  </w:style>
  <w:style w:type="paragraph" w:styleId="Zkladntextodsazen">
    <w:name w:val="Body Text Indent"/>
    <w:basedOn w:val="Normln"/>
    <w:link w:val="ZkladntextodsazenChar"/>
    <w:uiPriority w:val="99"/>
    <w:semiHidden/>
    <w:rsid w:val="00D15772"/>
    <w:pPr>
      <w:spacing w:after="120"/>
      <w:ind w:left="283"/>
    </w:pPr>
  </w:style>
  <w:style w:type="character" w:customStyle="1" w:styleId="ZkladntextodsazenChar">
    <w:name w:val="Základní text odsazený Char"/>
    <w:basedOn w:val="Standardnpsmoodstavce"/>
    <w:link w:val="Zkladntextodsazen"/>
    <w:uiPriority w:val="99"/>
    <w:semiHidden/>
    <w:locked/>
    <w:rsid w:val="00D15772"/>
    <w:rPr>
      <w:rFonts w:ascii="Times New Roman" w:hAnsi="Times New Roman" w:cs="Times New Roman"/>
      <w:sz w:val="24"/>
      <w:szCs w:val="24"/>
    </w:rPr>
  </w:style>
  <w:style w:type="paragraph" w:styleId="Zkladntext-prvnodsazen2">
    <w:name w:val="Body Text First Indent 2"/>
    <w:basedOn w:val="Zkladntextodsazen"/>
    <w:link w:val="Zkladntext-prvnodsazen2Char"/>
    <w:uiPriority w:val="99"/>
    <w:semiHidden/>
    <w:rsid w:val="00D15772"/>
    <w:pPr>
      <w:ind w:firstLine="210"/>
    </w:pPr>
  </w:style>
  <w:style w:type="character" w:customStyle="1" w:styleId="Zkladntext-prvnodsazen2Char">
    <w:name w:val="Základní text - první odsazený 2 Char"/>
    <w:basedOn w:val="ZkladntextodsazenChar"/>
    <w:link w:val="Zkladntext-prvnodsazen2"/>
    <w:uiPriority w:val="99"/>
    <w:semiHidden/>
    <w:locked/>
    <w:rsid w:val="00D15772"/>
    <w:rPr>
      <w:rFonts w:ascii="Times New Roman" w:hAnsi="Times New Roman" w:cs="Times New Roman"/>
      <w:sz w:val="24"/>
      <w:szCs w:val="24"/>
    </w:rPr>
  </w:style>
  <w:style w:type="paragraph" w:styleId="Zkladntext2">
    <w:name w:val="Body Text 2"/>
    <w:basedOn w:val="Normln"/>
    <w:link w:val="Zkladntext2Char"/>
    <w:uiPriority w:val="99"/>
    <w:semiHidden/>
    <w:rsid w:val="00D15772"/>
    <w:pPr>
      <w:spacing w:after="120" w:line="480" w:lineRule="auto"/>
    </w:pPr>
  </w:style>
  <w:style w:type="character" w:customStyle="1" w:styleId="Zkladntext2Char">
    <w:name w:val="Základní text 2 Char"/>
    <w:basedOn w:val="Standardnpsmoodstavce"/>
    <w:link w:val="Zkladntext2"/>
    <w:uiPriority w:val="99"/>
    <w:semiHidden/>
    <w:locked/>
    <w:rsid w:val="00D15772"/>
    <w:rPr>
      <w:rFonts w:ascii="Times New Roman" w:hAnsi="Times New Roman" w:cs="Times New Roman"/>
      <w:sz w:val="24"/>
      <w:szCs w:val="24"/>
    </w:rPr>
  </w:style>
  <w:style w:type="paragraph" w:styleId="Zkladntext3">
    <w:name w:val="Body Text 3"/>
    <w:basedOn w:val="Normln"/>
    <w:link w:val="Zkladntext3Char"/>
    <w:uiPriority w:val="99"/>
    <w:semiHidden/>
    <w:rsid w:val="00D15772"/>
    <w:pPr>
      <w:spacing w:after="120"/>
    </w:pPr>
    <w:rPr>
      <w:sz w:val="16"/>
      <w:szCs w:val="16"/>
    </w:rPr>
  </w:style>
  <w:style w:type="character" w:customStyle="1" w:styleId="Zkladntext3Char">
    <w:name w:val="Základní text 3 Char"/>
    <w:basedOn w:val="Standardnpsmoodstavce"/>
    <w:link w:val="Zkladntext3"/>
    <w:uiPriority w:val="99"/>
    <w:semiHidden/>
    <w:locked/>
    <w:rsid w:val="00D15772"/>
    <w:rPr>
      <w:rFonts w:ascii="Times New Roman" w:hAnsi="Times New Roman" w:cs="Times New Roman"/>
      <w:sz w:val="16"/>
      <w:szCs w:val="16"/>
    </w:rPr>
  </w:style>
  <w:style w:type="paragraph" w:styleId="Zkladntextodsazen2">
    <w:name w:val="Body Text Indent 2"/>
    <w:basedOn w:val="Normln"/>
    <w:link w:val="Zkladntextodsazen2Char"/>
    <w:uiPriority w:val="99"/>
    <w:semiHidden/>
    <w:rsid w:val="00D1577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D15772"/>
    <w:rPr>
      <w:rFonts w:ascii="Times New Roman" w:hAnsi="Times New Roman" w:cs="Times New Roman"/>
      <w:sz w:val="24"/>
      <w:szCs w:val="24"/>
    </w:rPr>
  </w:style>
  <w:style w:type="paragraph" w:styleId="Zkladntextodsazen3">
    <w:name w:val="Body Text Indent 3"/>
    <w:basedOn w:val="Normln"/>
    <w:link w:val="Zkladntextodsazen3Char"/>
    <w:uiPriority w:val="99"/>
    <w:semiHidden/>
    <w:rsid w:val="00D1577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D15772"/>
    <w:rPr>
      <w:rFonts w:ascii="Times New Roman" w:hAnsi="Times New Roman" w:cs="Times New Roman"/>
      <w:sz w:val="16"/>
      <w:szCs w:val="16"/>
    </w:rPr>
  </w:style>
  <w:style w:type="paragraph" w:styleId="Zvr">
    <w:name w:val="Closing"/>
    <w:basedOn w:val="Normln"/>
    <w:link w:val="ZvrChar"/>
    <w:uiPriority w:val="99"/>
    <w:semiHidden/>
    <w:rsid w:val="00D15772"/>
    <w:pPr>
      <w:ind w:left="4252"/>
    </w:pPr>
  </w:style>
  <w:style w:type="character" w:customStyle="1" w:styleId="ZvrChar">
    <w:name w:val="Závěr Char"/>
    <w:basedOn w:val="Standardnpsmoodstavce"/>
    <w:link w:val="Zvr"/>
    <w:uiPriority w:val="99"/>
    <w:semiHidden/>
    <w:locked/>
    <w:rsid w:val="00D15772"/>
    <w:rPr>
      <w:rFonts w:ascii="Times New Roman" w:hAnsi="Times New Roman" w:cs="Times New Roman"/>
      <w:sz w:val="24"/>
      <w:szCs w:val="24"/>
    </w:rPr>
  </w:style>
  <w:style w:type="paragraph" w:styleId="Zptenadresanaoblku">
    <w:name w:val="envelope return"/>
    <w:basedOn w:val="Normln"/>
    <w:uiPriority w:val="99"/>
    <w:semiHidden/>
    <w:rsid w:val="00D15772"/>
    <w:rPr>
      <w:rFonts w:ascii="Arial" w:hAnsi="Arial" w:cs="Arial"/>
      <w:sz w:val="20"/>
      <w:szCs w:val="20"/>
    </w:rPr>
  </w:style>
  <w:style w:type="character" w:styleId="Hypertextovodkaz">
    <w:name w:val="Hyperlink"/>
    <w:basedOn w:val="Standardnpsmoodstavce"/>
    <w:uiPriority w:val="99"/>
    <w:rsid w:val="00D15772"/>
    <w:rPr>
      <w:rFonts w:cs="Times New Roman"/>
      <w:color w:val="0000FF"/>
      <w:u w:val="single"/>
    </w:rPr>
  </w:style>
  <w:style w:type="character" w:styleId="Sledovanodkaz">
    <w:name w:val="FollowedHyperlink"/>
    <w:basedOn w:val="Standardnpsmoodstavce"/>
    <w:uiPriority w:val="99"/>
    <w:semiHidden/>
    <w:rsid w:val="00D15772"/>
    <w:rPr>
      <w:rFonts w:cs="Times New Roman"/>
      <w:color w:val="800080"/>
      <w:u w:val="single"/>
    </w:rPr>
  </w:style>
  <w:style w:type="paragraph" w:customStyle="1" w:styleId="Vet-znaka">
    <w:name w:val="Výčet - značka"/>
    <w:basedOn w:val="Normln"/>
    <w:uiPriority w:val="99"/>
    <w:semiHidden/>
    <w:rsid w:val="00D15772"/>
    <w:pPr>
      <w:numPr>
        <w:numId w:val="11"/>
      </w:numPr>
    </w:pPr>
    <w:rPr>
      <w:rFonts w:ascii="Arial Narrow" w:hAnsi="Arial Narrow"/>
    </w:rPr>
  </w:style>
  <w:style w:type="paragraph" w:customStyle="1" w:styleId="odraz">
    <w:name w:val="odraz"/>
    <w:basedOn w:val="Normln"/>
    <w:uiPriority w:val="99"/>
    <w:semiHidden/>
    <w:rsid w:val="00D15772"/>
    <w:pPr>
      <w:tabs>
        <w:tab w:val="right" w:leader="dot" w:pos="2552"/>
      </w:tabs>
      <w:overflowPunct w:val="0"/>
      <w:autoSpaceDE w:val="0"/>
      <w:autoSpaceDN w:val="0"/>
      <w:adjustRightInd w:val="0"/>
      <w:spacing w:after="60"/>
      <w:ind w:firstLine="0"/>
      <w:textAlignment w:val="baseline"/>
    </w:pPr>
    <w:rPr>
      <w:sz w:val="22"/>
      <w:szCs w:val="20"/>
    </w:rPr>
  </w:style>
  <w:style w:type="paragraph" w:customStyle="1" w:styleId="normln0">
    <w:name w:val="normální"/>
    <w:basedOn w:val="Normln"/>
    <w:uiPriority w:val="99"/>
    <w:semiHidden/>
    <w:rsid w:val="00D15772"/>
    <w:pPr>
      <w:autoSpaceDE w:val="0"/>
      <w:autoSpaceDN w:val="0"/>
      <w:spacing w:after="120"/>
    </w:pPr>
    <w:rPr>
      <w:rFonts w:ascii="Dynamo RE" w:hAnsi="Dynamo RE"/>
      <w:sz w:val="20"/>
      <w:szCs w:val="20"/>
    </w:rPr>
  </w:style>
  <w:style w:type="paragraph" w:customStyle="1" w:styleId="xl25">
    <w:name w:val="xl25"/>
    <w:basedOn w:val="Normln"/>
    <w:uiPriority w:val="99"/>
    <w:semiHidden/>
    <w:rsid w:val="00D15772"/>
    <w:pPr>
      <w:pBdr>
        <w:bottom w:val="single" w:sz="4" w:space="0" w:color="auto"/>
      </w:pBdr>
      <w:spacing w:before="100" w:beforeAutospacing="1" w:after="100" w:afterAutospacing="1"/>
      <w:jc w:val="center"/>
    </w:pPr>
    <w:rPr>
      <w:rFonts w:ascii="Arial" w:eastAsia="Calibri" w:hAnsi="Arial" w:cs="Arial Unicode MS"/>
      <w:b/>
      <w:bCs/>
    </w:rPr>
  </w:style>
  <w:style w:type="paragraph" w:customStyle="1" w:styleId="Style1">
    <w:name w:val="Style 1"/>
    <w:basedOn w:val="Normln"/>
    <w:uiPriority w:val="99"/>
    <w:semiHidden/>
    <w:rsid w:val="00D15772"/>
    <w:pPr>
      <w:tabs>
        <w:tab w:val="left" w:leader="dot" w:pos="5076"/>
      </w:tabs>
      <w:autoSpaceDE w:val="0"/>
      <w:autoSpaceDN w:val="0"/>
      <w:ind w:left="1656"/>
    </w:pPr>
    <w:rPr>
      <w:sz w:val="20"/>
    </w:rPr>
  </w:style>
  <w:style w:type="paragraph" w:customStyle="1" w:styleId="Style2">
    <w:name w:val="Style 2"/>
    <w:basedOn w:val="Normln"/>
    <w:uiPriority w:val="99"/>
    <w:semiHidden/>
    <w:rsid w:val="00D15772"/>
    <w:pPr>
      <w:autoSpaceDE w:val="0"/>
      <w:autoSpaceDN w:val="0"/>
      <w:adjustRightInd w:val="0"/>
    </w:pPr>
    <w:rPr>
      <w:sz w:val="20"/>
    </w:rPr>
  </w:style>
  <w:style w:type="paragraph" w:customStyle="1" w:styleId="Style3">
    <w:name w:val="Style 3"/>
    <w:basedOn w:val="Normln"/>
    <w:uiPriority w:val="99"/>
    <w:semiHidden/>
    <w:rsid w:val="00D15772"/>
    <w:pPr>
      <w:autoSpaceDE w:val="0"/>
      <w:autoSpaceDN w:val="0"/>
      <w:spacing w:after="288" w:line="480" w:lineRule="auto"/>
      <w:ind w:left="720" w:right="4392" w:hanging="720"/>
    </w:pPr>
  </w:style>
  <w:style w:type="paragraph" w:customStyle="1" w:styleId="Style4">
    <w:name w:val="Style 4"/>
    <w:basedOn w:val="Normln"/>
    <w:uiPriority w:val="99"/>
    <w:semiHidden/>
    <w:rsid w:val="00D15772"/>
    <w:pPr>
      <w:autoSpaceDE w:val="0"/>
      <w:autoSpaceDN w:val="0"/>
      <w:ind w:left="792" w:right="72"/>
    </w:pPr>
    <w:rPr>
      <w:sz w:val="20"/>
    </w:rPr>
  </w:style>
  <w:style w:type="paragraph" w:customStyle="1" w:styleId="alezkltext">
    <w:name w:val="aleš zákl. text"/>
    <w:basedOn w:val="Normln"/>
    <w:uiPriority w:val="99"/>
    <w:semiHidden/>
    <w:rsid w:val="00D15772"/>
    <w:pPr>
      <w:autoSpaceDE w:val="0"/>
      <w:autoSpaceDN w:val="0"/>
    </w:pPr>
    <w:rPr>
      <w:rFonts w:ascii="Arial" w:hAnsi="Arial" w:cs="Arial"/>
    </w:rPr>
  </w:style>
  <w:style w:type="paragraph" w:styleId="Normlnweb">
    <w:name w:val="Normal (Web)"/>
    <w:basedOn w:val="Normln"/>
    <w:uiPriority w:val="99"/>
    <w:rsid w:val="00D15772"/>
    <w:pPr>
      <w:widowControl/>
      <w:spacing w:before="100" w:beforeAutospacing="1" w:after="100" w:afterAutospacing="1"/>
      <w:ind w:firstLine="0"/>
      <w:jc w:val="left"/>
    </w:pPr>
    <w:rPr>
      <w:rFonts w:eastAsia="Calibri"/>
    </w:rPr>
  </w:style>
  <w:style w:type="paragraph" w:customStyle="1" w:styleId="Obrzek">
    <w:name w:val="Obrázek"/>
    <w:basedOn w:val="Normln"/>
    <w:uiPriority w:val="99"/>
    <w:semiHidden/>
    <w:rsid w:val="00D15772"/>
    <w:pPr>
      <w:spacing w:before="60"/>
      <w:jc w:val="center"/>
    </w:pPr>
    <w:rPr>
      <w:rFonts w:ascii="Arial" w:hAnsi="Arial" w:cs="Arial"/>
      <w:i/>
    </w:rPr>
  </w:style>
  <w:style w:type="paragraph" w:customStyle="1" w:styleId="Application1">
    <w:name w:val="Application1"/>
    <w:basedOn w:val="Normln"/>
    <w:next w:val="Normln"/>
    <w:uiPriority w:val="99"/>
    <w:semiHidden/>
    <w:rsid w:val="00D15772"/>
    <w:pPr>
      <w:tabs>
        <w:tab w:val="num" w:pos="360"/>
        <w:tab w:val="num" w:pos="567"/>
      </w:tabs>
      <w:autoSpaceDE w:val="0"/>
      <w:autoSpaceDN w:val="0"/>
      <w:spacing w:after="240"/>
    </w:pPr>
    <w:rPr>
      <w:rFonts w:ascii="Arial" w:hAnsi="Arial" w:cs="Arial"/>
      <w:b/>
      <w:bCs/>
      <w:caps/>
      <w:sz w:val="28"/>
      <w:szCs w:val="28"/>
      <w:lang w:val="en-GB"/>
    </w:rPr>
  </w:style>
  <w:style w:type="paragraph" w:customStyle="1" w:styleId="Styl1">
    <w:name w:val="Styl1"/>
    <w:basedOn w:val="Normln"/>
    <w:uiPriority w:val="99"/>
    <w:semiHidden/>
    <w:rsid w:val="00D15772"/>
    <w:rPr>
      <w:rFonts w:ascii="Arial" w:hAnsi="Arial"/>
      <w:sz w:val="20"/>
      <w:szCs w:val="20"/>
    </w:rPr>
  </w:style>
  <w:style w:type="paragraph" w:customStyle="1" w:styleId="Lucka-normlntext">
    <w:name w:val="Lucka - normální text"/>
    <w:basedOn w:val="Zkladntext"/>
    <w:uiPriority w:val="99"/>
    <w:semiHidden/>
    <w:rsid w:val="00D15772"/>
    <w:pPr>
      <w:spacing w:after="0"/>
    </w:pPr>
    <w:rPr>
      <w:bCs/>
    </w:rPr>
  </w:style>
  <w:style w:type="paragraph" w:customStyle="1" w:styleId="Nadpis22">
    <w:name w:val="Nadpis 22"/>
    <w:basedOn w:val="Normln"/>
    <w:uiPriority w:val="99"/>
    <w:semiHidden/>
    <w:rsid w:val="00D15772"/>
    <w:pPr>
      <w:spacing w:before="264" w:after="72"/>
      <w:outlineLvl w:val="2"/>
    </w:pPr>
    <w:rPr>
      <w:rFonts w:ascii="Arial" w:hAnsi="Arial" w:cs="Arial"/>
      <w:b/>
      <w:bCs/>
      <w:sz w:val="28"/>
      <w:szCs w:val="28"/>
    </w:rPr>
  </w:style>
  <w:style w:type="table" w:styleId="Mkatabulky">
    <w:name w:val="Table Grid"/>
    <w:basedOn w:val="Normlntabulka"/>
    <w:uiPriority w:val="99"/>
    <w:rsid w:val="00D157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8">
    <w:name w:val="Mřížka tabulky18"/>
    <w:uiPriority w:val="99"/>
    <w:rsid w:val="00D1577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1">
    <w:name w:val="Text Char1"/>
    <w:uiPriority w:val="99"/>
    <w:semiHidden/>
    <w:rsid w:val="00D15772"/>
    <w:rPr>
      <w:rFonts w:ascii="Arial" w:hAnsi="Arial"/>
      <w:sz w:val="24"/>
      <w:lang w:val="cs-CZ" w:eastAsia="cs-CZ"/>
    </w:rPr>
  </w:style>
  <w:style w:type="paragraph" w:customStyle="1" w:styleId="Pruka-ZkladnstylChar">
    <w:name w:val="Příručka - Základní styl Char"/>
    <w:basedOn w:val="Normln"/>
    <w:uiPriority w:val="99"/>
    <w:semiHidden/>
    <w:rsid w:val="00D15772"/>
    <w:pPr>
      <w:spacing w:after="120"/>
    </w:pPr>
    <w:rPr>
      <w:szCs w:val="20"/>
    </w:rPr>
  </w:style>
  <w:style w:type="character" w:styleId="AkronymHTML">
    <w:name w:val="HTML Acronym"/>
    <w:basedOn w:val="Standardnpsmoodstavce"/>
    <w:uiPriority w:val="99"/>
    <w:semiHidden/>
    <w:rsid w:val="00D15772"/>
    <w:rPr>
      <w:rFonts w:cs="Times New Roman"/>
    </w:rPr>
  </w:style>
  <w:style w:type="table" w:styleId="Barevntabulka1">
    <w:name w:val="Table Colorful 1"/>
    <w:basedOn w:val="Normlntabulka"/>
    <w:uiPriority w:val="99"/>
    <w:semiHidden/>
    <w:rsid w:val="00D15772"/>
    <w:rPr>
      <w:rFonts w:ascii="Times New Roman" w:eastAsia="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rsid w:val="00D15772"/>
    <w:rPr>
      <w:rFonts w:ascii="Times New Roman" w:eastAsia="Times New Roman" w:hAnsi="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rsid w:val="00D15772"/>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CittHTML">
    <w:name w:val="HTML Cite"/>
    <w:basedOn w:val="Standardnpsmoodstavce"/>
    <w:uiPriority w:val="99"/>
    <w:semiHidden/>
    <w:rsid w:val="00D15772"/>
    <w:rPr>
      <w:rFonts w:cs="Times New Roman"/>
      <w:i/>
    </w:rPr>
  </w:style>
  <w:style w:type="character" w:styleId="slodku">
    <w:name w:val="line number"/>
    <w:basedOn w:val="Standardnpsmoodstavce"/>
    <w:uiPriority w:val="99"/>
    <w:semiHidden/>
    <w:rsid w:val="00D15772"/>
    <w:rPr>
      <w:rFonts w:cs="Times New Roman"/>
    </w:rPr>
  </w:style>
  <w:style w:type="character" w:styleId="DefiniceHTML">
    <w:name w:val="HTML Definition"/>
    <w:basedOn w:val="Standardnpsmoodstavce"/>
    <w:uiPriority w:val="99"/>
    <w:semiHidden/>
    <w:rsid w:val="00D15772"/>
    <w:rPr>
      <w:rFonts w:cs="Times New Roman"/>
      <w:i/>
    </w:rPr>
  </w:style>
  <w:style w:type="table" w:styleId="Elegantntabulka">
    <w:name w:val="Table Elegant"/>
    <w:basedOn w:val="Normlntabulka"/>
    <w:uiPriority w:val="99"/>
    <w:semiHidden/>
    <w:rsid w:val="00D15772"/>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semiHidden/>
    <w:rsid w:val="00D15772"/>
    <w:rPr>
      <w:rFonts w:ascii="Times New Roman" w:eastAsia="Times New Roman" w:hAnsi="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rsid w:val="00D15772"/>
    <w:rPr>
      <w:rFonts w:ascii="Times New Roman" w:eastAsia="Times New Roman" w:hAnsi="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rsid w:val="00D15772"/>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uiPriority w:val="99"/>
    <w:semiHidden/>
    <w:rsid w:val="00D15772"/>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rsid w:val="00D15772"/>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rsid w:val="00D15772"/>
    <w:rPr>
      <w:rFonts w:ascii="Times New Roman" w:eastAsia="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rsid w:val="00D15772"/>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KlvesniceHTML">
    <w:name w:val="HTML Keyboard"/>
    <w:basedOn w:val="Standardnpsmoodstavce"/>
    <w:uiPriority w:val="99"/>
    <w:semiHidden/>
    <w:rsid w:val="00D15772"/>
    <w:rPr>
      <w:rFonts w:ascii="Courier New" w:hAnsi="Courier New" w:cs="Times New Roman"/>
      <w:sz w:val="20"/>
    </w:rPr>
  </w:style>
  <w:style w:type="character" w:styleId="KdHTML">
    <w:name w:val="HTML Code"/>
    <w:basedOn w:val="Standardnpsmoodstavce"/>
    <w:uiPriority w:val="99"/>
    <w:semiHidden/>
    <w:rsid w:val="00D15772"/>
    <w:rPr>
      <w:rFonts w:ascii="Courier New" w:hAnsi="Courier New" w:cs="Times New Roman"/>
      <w:sz w:val="20"/>
    </w:rPr>
  </w:style>
  <w:style w:type="table" w:styleId="Moderntabulka">
    <w:name w:val="Table Contemporary"/>
    <w:basedOn w:val="Normlntabulka"/>
    <w:uiPriority w:val="99"/>
    <w:semiHidden/>
    <w:rsid w:val="00D15772"/>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uiPriority w:val="99"/>
    <w:semiHidden/>
    <w:rsid w:val="00D157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uiPriority w:val="99"/>
    <w:semiHidden/>
    <w:rsid w:val="00D1577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Mkatabulky2">
    <w:name w:val="Table Grid 2"/>
    <w:basedOn w:val="Normlntabulka"/>
    <w:uiPriority w:val="99"/>
    <w:semiHidden/>
    <w:rsid w:val="00D15772"/>
    <w:rPr>
      <w:rFonts w:ascii="Times New Roman" w:eastAsia="Times New Roman" w:hAnsi="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Mkatabulky3">
    <w:name w:val="Table Grid 3"/>
    <w:basedOn w:val="Normlntabulka"/>
    <w:uiPriority w:val="99"/>
    <w:semiHidden/>
    <w:rsid w:val="00D15772"/>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Mkatabulky4">
    <w:name w:val="Table Grid 4"/>
    <w:basedOn w:val="Normlntabulka"/>
    <w:uiPriority w:val="99"/>
    <w:semiHidden/>
    <w:rsid w:val="00D15772"/>
    <w:rPr>
      <w:rFonts w:ascii="Times New Roman" w:eastAsia="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rsid w:val="00D15772"/>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Mkatabulky6">
    <w:name w:val="Table Grid 6"/>
    <w:basedOn w:val="Normlntabulka"/>
    <w:uiPriority w:val="99"/>
    <w:semiHidden/>
    <w:rsid w:val="00D15772"/>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Mkatabulky7">
    <w:name w:val="Table Grid 7"/>
    <w:basedOn w:val="Normlntabulka"/>
    <w:uiPriority w:val="99"/>
    <w:semiHidden/>
    <w:rsid w:val="00D15772"/>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Mkatabulky8">
    <w:name w:val="Table Grid 8"/>
    <w:basedOn w:val="Normlntabulka"/>
    <w:uiPriority w:val="99"/>
    <w:semiHidden/>
    <w:rsid w:val="00D15772"/>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Profesionlntabulka">
    <w:name w:val="Table Professional"/>
    <w:basedOn w:val="Normlntabulka"/>
    <w:uiPriority w:val="99"/>
    <w:semiHidden/>
    <w:rsid w:val="00D1577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romnnHTML">
    <w:name w:val="HTML Variable"/>
    <w:basedOn w:val="Standardnpsmoodstavce"/>
    <w:uiPriority w:val="99"/>
    <w:semiHidden/>
    <w:rsid w:val="00D15772"/>
    <w:rPr>
      <w:rFonts w:cs="Times New Roman"/>
      <w:i/>
    </w:rPr>
  </w:style>
  <w:style w:type="character" w:styleId="PsacstrojHTML">
    <w:name w:val="HTML Typewriter"/>
    <w:basedOn w:val="Standardnpsmoodstavce"/>
    <w:uiPriority w:val="99"/>
    <w:semiHidden/>
    <w:rsid w:val="00D15772"/>
    <w:rPr>
      <w:rFonts w:ascii="Courier New" w:hAnsi="Courier New" w:cs="Times New Roman"/>
      <w:sz w:val="20"/>
    </w:rPr>
  </w:style>
  <w:style w:type="table" w:styleId="Sloupcetabulky1">
    <w:name w:val="Table Columns 1"/>
    <w:basedOn w:val="Normlntabulka"/>
    <w:uiPriority w:val="99"/>
    <w:semiHidden/>
    <w:rsid w:val="00D15772"/>
    <w:rPr>
      <w:rFonts w:ascii="Times New Roman" w:eastAsia="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rsid w:val="00D15772"/>
    <w:rPr>
      <w:rFonts w:ascii="Times New Roman" w:eastAsia="Times New Roman" w:hAnsi="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rsid w:val="00D15772"/>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rsid w:val="00D15772"/>
    <w:rPr>
      <w:rFonts w:ascii="Times New Roman" w:eastAsia="Times New Roman" w:hAnsi="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Sloupcetabulky5">
    <w:name w:val="Table Columns 5"/>
    <w:basedOn w:val="Normlntabulka"/>
    <w:uiPriority w:val="99"/>
    <w:semiHidden/>
    <w:rsid w:val="00D15772"/>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ulkajakoseznam1">
    <w:name w:val="Table List 1"/>
    <w:basedOn w:val="Normlntabulka"/>
    <w:uiPriority w:val="99"/>
    <w:semiHidden/>
    <w:rsid w:val="00D157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rsid w:val="00D15772"/>
    <w:rPr>
      <w:rFonts w:ascii="Times New Roman" w:eastAsia="Times New Roman" w:hAnsi="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rsid w:val="00D15772"/>
    <w:rPr>
      <w:rFonts w:ascii="Times New Roman" w:eastAsia="Times New Roman" w:hAnsi="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rsid w:val="00D15772"/>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rsid w:val="00D1577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rsid w:val="00D15772"/>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rsid w:val="00D15772"/>
    <w:rPr>
      <w:rFonts w:ascii="Times New Roman" w:eastAsia="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rsid w:val="00D15772"/>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uiPriority w:val="99"/>
    <w:semiHidden/>
    <w:rsid w:val="00D15772"/>
    <w:rPr>
      <w:rFonts w:ascii="Times New Roman" w:eastAsia="Times New Roman" w:hAnsi="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rsid w:val="00D15772"/>
    <w:rPr>
      <w:rFonts w:ascii="Times New Roman" w:eastAsia="Times New Roman" w:hAnsi="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rsid w:val="00D15772"/>
    <w:rPr>
      <w:rFonts w:ascii="Times New Roman" w:eastAsia="Times New Roman" w:hAnsi="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ulkastlumenmibarvami1">
    <w:name w:val="Table Subtle 1"/>
    <w:basedOn w:val="Normlntabulka"/>
    <w:uiPriority w:val="99"/>
    <w:semiHidden/>
    <w:rsid w:val="00D15772"/>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rsid w:val="00D15772"/>
    <w:rPr>
      <w:rFonts w:ascii="Times New Roman" w:eastAsia="Times New Roman" w:hAnsi="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UkzkaHTML">
    <w:name w:val="HTML Sample"/>
    <w:basedOn w:val="Standardnpsmoodstavce"/>
    <w:uiPriority w:val="99"/>
    <w:semiHidden/>
    <w:rsid w:val="00D15772"/>
    <w:rPr>
      <w:rFonts w:ascii="Courier New" w:hAnsi="Courier New" w:cs="Times New Roman"/>
    </w:rPr>
  </w:style>
  <w:style w:type="table" w:styleId="Webovtabulka1">
    <w:name w:val="Table Web 1"/>
    <w:basedOn w:val="Normlntabulka"/>
    <w:uiPriority w:val="99"/>
    <w:semiHidden/>
    <w:rsid w:val="00D15772"/>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rsid w:val="00D15772"/>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rsid w:val="00D15772"/>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OdrkysitaChar">
    <w:name w:val="Odrážky_sita Char"/>
    <w:link w:val="Odrkysita"/>
    <w:uiPriority w:val="99"/>
    <w:locked/>
    <w:rsid w:val="00D15772"/>
    <w:rPr>
      <w:sz w:val="24"/>
      <w:szCs w:val="24"/>
    </w:rPr>
  </w:style>
  <w:style w:type="paragraph" w:styleId="Nzev">
    <w:name w:val="Title"/>
    <w:basedOn w:val="Normln"/>
    <w:link w:val="NzevChar"/>
    <w:uiPriority w:val="99"/>
    <w:qFormat/>
    <w:rsid w:val="00D15772"/>
    <w:pPr>
      <w:jc w:val="center"/>
    </w:pPr>
    <w:rPr>
      <w:rFonts w:ascii="Arial Narrow" w:hAnsi="Arial Narrow"/>
      <w:b/>
      <w:bCs/>
      <w:caps/>
      <w:sz w:val="40"/>
    </w:rPr>
  </w:style>
  <w:style w:type="character" w:customStyle="1" w:styleId="NzevChar">
    <w:name w:val="Název Char"/>
    <w:basedOn w:val="Standardnpsmoodstavce"/>
    <w:link w:val="Nzev"/>
    <w:uiPriority w:val="99"/>
    <w:locked/>
    <w:rsid w:val="00D15772"/>
    <w:rPr>
      <w:rFonts w:ascii="Arial Narrow" w:hAnsi="Arial Narrow" w:cs="Times New Roman"/>
      <w:b/>
      <w:bCs/>
      <w:caps/>
      <w:sz w:val="24"/>
      <w:szCs w:val="24"/>
    </w:rPr>
  </w:style>
  <w:style w:type="paragraph" w:customStyle="1" w:styleId="Odrkysita">
    <w:name w:val="Odrážky_sita"/>
    <w:basedOn w:val="Normln"/>
    <w:link w:val="OdrkysitaChar"/>
    <w:uiPriority w:val="99"/>
    <w:rsid w:val="00D15772"/>
    <w:pPr>
      <w:numPr>
        <w:numId w:val="12"/>
      </w:numPr>
    </w:pPr>
    <w:rPr>
      <w:rFonts w:ascii="Calibri" w:eastAsia="Calibri" w:hAnsi="Calibri"/>
    </w:rPr>
  </w:style>
  <w:style w:type="character" w:customStyle="1" w:styleId="JaroslavBrzk">
    <w:name w:val="Jaroslav Brzák"/>
    <w:uiPriority w:val="99"/>
    <w:semiHidden/>
    <w:rsid w:val="00D15772"/>
    <w:rPr>
      <w:rFonts w:ascii="Arial" w:hAnsi="Arial"/>
      <w:color w:val="000080"/>
      <w:sz w:val="20"/>
    </w:rPr>
  </w:style>
  <w:style w:type="character" w:customStyle="1" w:styleId="StylnzevtabulkyaobrzkuPrvndek0cmChar">
    <w:name w:val="Styl název tabulky a obrázku + První řádek:  0 cm Char"/>
    <w:link w:val="StylnzevtabulkyaobrzkuPrvndek0cm"/>
    <w:uiPriority w:val="99"/>
    <w:locked/>
    <w:rsid w:val="00D15772"/>
    <w:rPr>
      <w:b/>
      <w:i/>
      <w:sz w:val="24"/>
      <w:lang w:eastAsia="cs-CZ"/>
    </w:rPr>
  </w:style>
  <w:style w:type="paragraph" w:customStyle="1" w:styleId="Odstavec">
    <w:name w:val="Odstavec"/>
    <w:basedOn w:val="Normln"/>
    <w:uiPriority w:val="99"/>
    <w:semiHidden/>
    <w:rsid w:val="00D15772"/>
    <w:pPr>
      <w:spacing w:before="120"/>
      <w:ind w:firstLine="709"/>
    </w:pPr>
    <w:rPr>
      <w:bCs/>
    </w:rPr>
  </w:style>
  <w:style w:type="paragraph" w:customStyle="1" w:styleId="StylNadpis1Ped0bZa0b">
    <w:name w:val="Styl Nadpis 1 + Před:  0 b. Za:  0 b."/>
    <w:basedOn w:val="Nadpis1"/>
    <w:uiPriority w:val="99"/>
    <w:rsid w:val="00D15772"/>
    <w:pPr>
      <w:numPr>
        <w:numId w:val="13"/>
      </w:numPr>
      <w:tabs>
        <w:tab w:val="clear" w:pos="720"/>
      </w:tabs>
      <w:jc w:val="both"/>
    </w:pPr>
    <w:rPr>
      <w:sz w:val="28"/>
      <w:szCs w:val="20"/>
    </w:rPr>
  </w:style>
  <w:style w:type="paragraph" w:customStyle="1" w:styleId="StylNadpis2Ped0bZa0b">
    <w:name w:val="Styl Nadpis 2 + Před:  0 b. Za:  0 b."/>
    <w:basedOn w:val="Nadpis2"/>
    <w:uiPriority w:val="99"/>
    <w:rsid w:val="00D15772"/>
    <w:pPr>
      <w:numPr>
        <w:ilvl w:val="1"/>
        <w:numId w:val="13"/>
      </w:numPr>
      <w:tabs>
        <w:tab w:val="clear" w:pos="720"/>
      </w:tabs>
      <w:spacing w:before="0" w:after="0"/>
    </w:pPr>
    <w:rPr>
      <w:rFonts w:ascii="Times New Roman" w:hAnsi="Times New Roman" w:cs="Times New Roman"/>
      <w:bCs/>
      <w:szCs w:val="20"/>
    </w:rPr>
  </w:style>
  <w:style w:type="paragraph" w:customStyle="1" w:styleId="StylnzevtabulkyaobrzkuPrvndek0cm">
    <w:name w:val="Styl název tabulky a obrázku + První řádek:  0 cm"/>
    <w:basedOn w:val="Normln"/>
    <w:link w:val="StylnzevtabulkyaobrzkuPrvndek0cmChar"/>
    <w:uiPriority w:val="99"/>
    <w:rsid w:val="00D15772"/>
    <w:pPr>
      <w:ind w:firstLine="0"/>
    </w:pPr>
    <w:rPr>
      <w:rFonts w:ascii="Calibri" w:eastAsia="Calibri" w:hAnsi="Calibri"/>
      <w:b/>
      <w:i/>
      <w:szCs w:val="20"/>
    </w:rPr>
  </w:style>
  <w:style w:type="paragraph" w:customStyle="1" w:styleId="ZdrojPrvndek0cm">
    <w:name w:val="Zdroj: První řádek:  0 cm"/>
    <w:basedOn w:val="Normln"/>
    <w:link w:val="ZdrojPrvndek0cmChar"/>
    <w:uiPriority w:val="99"/>
    <w:rsid w:val="00D15772"/>
    <w:pPr>
      <w:tabs>
        <w:tab w:val="left" w:pos="360"/>
      </w:tabs>
      <w:ind w:firstLine="0"/>
    </w:pPr>
    <w:rPr>
      <w:rFonts w:eastAsia="Calibri"/>
      <w:sz w:val="20"/>
      <w:szCs w:val="20"/>
    </w:rPr>
  </w:style>
  <w:style w:type="character" w:customStyle="1" w:styleId="ZdrojPrvndek0cmChar">
    <w:name w:val="Zdroj: První řádek:  0 cm Char"/>
    <w:link w:val="ZdrojPrvndek0cm"/>
    <w:uiPriority w:val="99"/>
    <w:locked/>
    <w:rsid w:val="00D15772"/>
    <w:rPr>
      <w:rFonts w:ascii="Times New Roman" w:hAnsi="Times New Roman"/>
      <w:sz w:val="20"/>
      <w:lang w:eastAsia="cs-CZ"/>
    </w:rPr>
  </w:style>
  <w:style w:type="character" w:customStyle="1" w:styleId="DuanStruna">
    <w:name w:val="Dušan Struna"/>
    <w:uiPriority w:val="99"/>
    <w:semiHidden/>
    <w:rsid w:val="00D15772"/>
    <w:rPr>
      <w:rFonts w:ascii="Arial" w:hAnsi="Arial"/>
      <w:color w:val="auto"/>
      <w:sz w:val="20"/>
    </w:rPr>
  </w:style>
  <w:style w:type="character" w:styleId="Znakapoznpodarou">
    <w:name w:val="footnote reference"/>
    <w:aliases w:val="PGI Fußnote Ziffer,BVI fnr,Footnote symbol,Footnote Reference Superscript,Appel note de bas de p,Appel note de bas de page,Légende,Char Car Car Car Car,Voetnootverwijzing"/>
    <w:basedOn w:val="Standardnpsmoodstavce"/>
    <w:uiPriority w:val="99"/>
    <w:rsid w:val="00D15772"/>
    <w:rPr>
      <w:rFonts w:cs="Times New Roman"/>
      <w:vertAlign w:val="superscript"/>
    </w:rPr>
  </w:style>
  <w:style w:type="character" w:customStyle="1" w:styleId="PetrChroust">
    <w:name w:val="Petr Chroust"/>
    <w:uiPriority w:val="99"/>
    <w:semiHidden/>
    <w:rsid w:val="00D15772"/>
    <w:rPr>
      <w:rFonts w:ascii="Arial" w:hAnsi="Arial"/>
      <w:color w:val="auto"/>
      <w:sz w:val="20"/>
    </w:rPr>
  </w:style>
  <w:style w:type="paragraph" w:styleId="z-Zatekformule">
    <w:name w:val="HTML Top of Form"/>
    <w:basedOn w:val="Normln"/>
    <w:next w:val="Normln"/>
    <w:link w:val="z-ZatekformuleChar"/>
    <w:hidden/>
    <w:uiPriority w:val="99"/>
    <w:rsid w:val="00D15772"/>
    <w:pPr>
      <w:pBdr>
        <w:bottom w:val="single" w:sz="6" w:space="1" w:color="auto"/>
      </w:pBdr>
      <w:jc w:val="center"/>
    </w:pPr>
    <w:rPr>
      <w:rFonts w:ascii="Arial" w:eastAsia="Calibri" w:hAnsi="Arial"/>
      <w:vanish/>
      <w:sz w:val="16"/>
      <w:szCs w:val="16"/>
    </w:rPr>
  </w:style>
  <w:style w:type="character" w:customStyle="1" w:styleId="z-ZatekformuleChar">
    <w:name w:val="z-Začátek formuláře Char"/>
    <w:basedOn w:val="Standardnpsmoodstavce"/>
    <w:link w:val="z-Zatekformule"/>
    <w:uiPriority w:val="99"/>
    <w:locked/>
    <w:rsid w:val="00D15772"/>
    <w:rPr>
      <w:rFonts w:ascii="Arial" w:hAnsi="Arial" w:cs="Times New Roman"/>
      <w:vanish/>
      <w:sz w:val="16"/>
      <w:szCs w:val="16"/>
    </w:rPr>
  </w:style>
  <w:style w:type="character" w:customStyle="1" w:styleId="niklova">
    <w:name w:val="niklova"/>
    <w:uiPriority w:val="99"/>
    <w:semiHidden/>
    <w:rsid w:val="00D15772"/>
    <w:rPr>
      <w:rFonts w:ascii="Arial" w:hAnsi="Arial"/>
      <w:color w:val="000000"/>
      <w:sz w:val="20"/>
    </w:rPr>
  </w:style>
  <w:style w:type="paragraph" w:styleId="z-Konecformule">
    <w:name w:val="HTML Bottom of Form"/>
    <w:basedOn w:val="Normln"/>
    <w:next w:val="Normln"/>
    <w:link w:val="z-KonecformuleChar"/>
    <w:hidden/>
    <w:uiPriority w:val="99"/>
    <w:rsid w:val="00D15772"/>
    <w:pPr>
      <w:numPr>
        <w:numId w:val="16"/>
      </w:numPr>
      <w:pBdr>
        <w:top w:val="single" w:sz="6" w:space="1" w:color="auto"/>
      </w:pBdr>
      <w:tabs>
        <w:tab w:val="clear" w:pos="720"/>
      </w:tabs>
      <w:ind w:left="0" w:firstLine="567"/>
      <w:jc w:val="center"/>
    </w:pPr>
    <w:rPr>
      <w:rFonts w:ascii="Arial" w:eastAsia="Calibri" w:hAnsi="Arial"/>
      <w:vanish/>
      <w:sz w:val="16"/>
      <w:szCs w:val="16"/>
    </w:rPr>
  </w:style>
  <w:style w:type="character" w:customStyle="1" w:styleId="z-KonecformuleChar">
    <w:name w:val="z-Konec formuláře Char"/>
    <w:basedOn w:val="Standardnpsmoodstavce"/>
    <w:link w:val="z-Konecformule"/>
    <w:uiPriority w:val="99"/>
    <w:locked/>
    <w:rsid w:val="00D15772"/>
    <w:rPr>
      <w:rFonts w:ascii="Arial" w:hAnsi="Arial"/>
      <w:vanish/>
      <w:sz w:val="16"/>
      <w:szCs w:val="16"/>
    </w:rPr>
  </w:style>
  <w:style w:type="character" w:customStyle="1" w:styleId="Podpise-mailuChar1">
    <w:name w:val="Podpis e-mailu Char1"/>
    <w:uiPriority w:val="99"/>
    <w:semiHidden/>
    <w:rsid w:val="00D15772"/>
    <w:rPr>
      <w:rFonts w:ascii="Times New Roman" w:hAnsi="Times New Roman"/>
      <w:sz w:val="24"/>
      <w:lang w:eastAsia="cs-CZ"/>
    </w:rPr>
  </w:style>
  <w:style w:type="paragraph" w:customStyle="1" w:styleId="TabzarovnnnastedPrvndek0cm">
    <w:name w:val="Tab: zarovnání na střed První řádek:  0 cm"/>
    <w:basedOn w:val="Normln"/>
    <w:uiPriority w:val="99"/>
    <w:rsid w:val="00D15772"/>
    <w:pPr>
      <w:keepNext/>
      <w:keepLines/>
      <w:widowControl/>
      <w:ind w:firstLine="0"/>
      <w:jc w:val="center"/>
    </w:pPr>
    <w:rPr>
      <w:rFonts w:ascii="Arial" w:hAnsi="Arial"/>
      <w:sz w:val="20"/>
      <w:szCs w:val="20"/>
    </w:rPr>
  </w:style>
  <w:style w:type="paragraph" w:customStyle="1" w:styleId="Mjslovn">
    <w:name w:val="Můj: číslování"/>
    <w:basedOn w:val="Normln"/>
    <w:uiPriority w:val="99"/>
    <w:rsid w:val="00D15772"/>
    <w:pPr>
      <w:numPr>
        <w:numId w:val="17"/>
      </w:numPr>
    </w:pPr>
  </w:style>
  <w:style w:type="paragraph" w:customStyle="1" w:styleId="Tabtunzarovnnnasted">
    <w:name w:val="Tab: tučné zarovnání na střed"/>
    <w:basedOn w:val="Normln"/>
    <w:uiPriority w:val="99"/>
    <w:rsid w:val="00D15772"/>
    <w:pPr>
      <w:keepNext/>
      <w:keepLines/>
      <w:widowControl/>
      <w:ind w:firstLine="0"/>
      <w:jc w:val="center"/>
    </w:pPr>
    <w:rPr>
      <w:rFonts w:ascii="Arial" w:hAnsi="Arial"/>
      <w:b/>
      <w:bCs/>
      <w:sz w:val="20"/>
      <w:szCs w:val="20"/>
    </w:rPr>
  </w:style>
  <w:style w:type="paragraph" w:customStyle="1" w:styleId="TabTunPrvndek0cm">
    <w:name w:val="Tab: Tučné První řádek:  0 cm"/>
    <w:basedOn w:val="Normln"/>
    <w:uiPriority w:val="99"/>
    <w:rsid w:val="00D15772"/>
    <w:pPr>
      <w:keepNext/>
      <w:keepLines/>
      <w:widowControl/>
      <w:ind w:firstLine="0"/>
    </w:pPr>
    <w:rPr>
      <w:rFonts w:ascii="Arial" w:hAnsi="Arial"/>
      <w:b/>
      <w:bCs/>
      <w:sz w:val="20"/>
      <w:szCs w:val="20"/>
    </w:rPr>
  </w:style>
  <w:style w:type="paragraph" w:customStyle="1" w:styleId="NadpisTabulka">
    <w:name w:val="Nadpis Tabulka"/>
    <w:basedOn w:val="Normln"/>
    <w:link w:val="NadpisTabulkaCharChar"/>
    <w:uiPriority w:val="99"/>
    <w:rsid w:val="00D15772"/>
    <w:pPr>
      <w:keepNext/>
      <w:keepLines/>
      <w:widowControl/>
      <w:ind w:firstLine="0"/>
    </w:pPr>
    <w:rPr>
      <w:rFonts w:ascii="Arial" w:eastAsia="Calibri" w:hAnsi="Arial"/>
      <w:b/>
      <w:i/>
      <w:sz w:val="20"/>
      <w:szCs w:val="20"/>
    </w:rPr>
  </w:style>
  <w:style w:type="character" w:customStyle="1" w:styleId="NadpisTabulkaCharChar">
    <w:name w:val="Nadpis Tabulka Char Char"/>
    <w:link w:val="NadpisTabulka"/>
    <w:uiPriority w:val="99"/>
    <w:locked/>
    <w:rsid w:val="00D15772"/>
    <w:rPr>
      <w:rFonts w:ascii="Arial" w:hAnsi="Arial"/>
      <w:b/>
      <w:i/>
      <w:sz w:val="20"/>
    </w:rPr>
  </w:style>
  <w:style w:type="paragraph" w:customStyle="1" w:styleId="Zdroj">
    <w:name w:val="Zdroj"/>
    <w:basedOn w:val="Normln"/>
    <w:uiPriority w:val="99"/>
    <w:rsid w:val="00D15772"/>
    <w:pPr>
      <w:widowControl/>
      <w:ind w:firstLine="0"/>
    </w:pPr>
    <w:rPr>
      <w:i/>
      <w:sz w:val="20"/>
      <w:szCs w:val="28"/>
      <w:lang w:eastAsia="en-US"/>
    </w:rPr>
  </w:style>
  <w:style w:type="paragraph" w:customStyle="1" w:styleId="TabPrvndek0cm">
    <w:name w:val="Tab: První řádek:  0 cm"/>
    <w:basedOn w:val="Normln"/>
    <w:link w:val="TabPrvndek0cmChar"/>
    <w:uiPriority w:val="99"/>
    <w:rsid w:val="00D15772"/>
    <w:pPr>
      <w:keepNext/>
      <w:keepLines/>
      <w:widowControl/>
      <w:ind w:firstLine="0"/>
      <w:jc w:val="left"/>
    </w:pPr>
    <w:rPr>
      <w:rFonts w:ascii="Arial" w:eastAsia="Calibri" w:hAnsi="Arial"/>
      <w:sz w:val="20"/>
      <w:szCs w:val="20"/>
    </w:rPr>
  </w:style>
  <w:style w:type="character" w:customStyle="1" w:styleId="TabPrvndek0cmChar">
    <w:name w:val="Tab: První řádek:  0 cm Char"/>
    <w:link w:val="TabPrvndek0cm"/>
    <w:uiPriority w:val="99"/>
    <w:locked/>
    <w:rsid w:val="00D15772"/>
    <w:rPr>
      <w:rFonts w:ascii="Arial" w:hAnsi="Arial"/>
      <w:sz w:val="20"/>
    </w:rPr>
  </w:style>
  <w:style w:type="table" w:customStyle="1" w:styleId="Mkatabulky15">
    <w:name w:val="Mřížka tabulky15"/>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
    <w:name w:val="Mřížka tabulky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
    <w:name w:val="Mřížka tabulky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0">
    <w:name w:val="Mřížka tabulky3"/>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0">
    <w:name w:val="Mřížka tabulky4"/>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revntabulka11">
    <w:name w:val="Barevná tabulka 11"/>
    <w:uiPriority w:val="99"/>
    <w:semiHidden/>
    <w:rsid w:val="00D15772"/>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Barevntabulka21">
    <w:name w:val="Barevná tabulka 21"/>
    <w:uiPriority w:val="99"/>
    <w:semiHidden/>
    <w:rsid w:val="00D15772"/>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Mkatabulky50">
    <w:name w:val="Mřížka tabulky5"/>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0">
    <w:name w:val="Mřížka tabulky6"/>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0">
    <w:name w:val="Mřížka tabulky7"/>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0">
    <w:name w:val="Mřížka tabulky8"/>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
    <w:name w:val="Mřížka tabulky9"/>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revntabulka31">
    <w:name w:val="Barevná tabulka 31"/>
    <w:uiPriority w:val="99"/>
    <w:semiHidden/>
    <w:rsid w:val="00D15772"/>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Elegantntabulka1">
    <w:name w:val="Elegantní tabulka1"/>
    <w:uiPriority w:val="99"/>
    <w:semiHidden/>
    <w:rsid w:val="00D15772"/>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Mkatabulky100">
    <w:name w:val="Mřížka tabulky10"/>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
    <w:name w:val="Mřížka tabulky1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
    <w:name w:val="Mřížka tabulky13"/>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
    <w:name w:val="Mřížka tabulky14"/>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ednoduchtabulka11">
    <w:name w:val="Jednoduchá tabulka 11"/>
    <w:uiPriority w:val="99"/>
    <w:semiHidden/>
    <w:rsid w:val="00D15772"/>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Jednoduchtabulka21">
    <w:name w:val="Jednoduchá tabulka 21"/>
    <w:uiPriority w:val="99"/>
    <w:semiHidden/>
    <w:rsid w:val="00D15772"/>
    <w:rPr>
      <w:rFonts w:ascii="Times New Roman" w:eastAsia="Times New Roman" w:hAnsi="Times New Roman"/>
      <w:sz w:val="20"/>
      <w:szCs w:val="20"/>
    </w:rPr>
    <w:tblPr>
      <w:tblInd w:w="0" w:type="dxa"/>
      <w:tblCellMar>
        <w:top w:w="0" w:type="dxa"/>
        <w:left w:w="108" w:type="dxa"/>
        <w:bottom w:w="0" w:type="dxa"/>
        <w:right w:w="108" w:type="dxa"/>
      </w:tblCellMar>
    </w:tblPr>
  </w:style>
  <w:style w:type="table" w:customStyle="1" w:styleId="Jednoduchtabulka31">
    <w:name w:val="Jednoduchá tabulka 31"/>
    <w:uiPriority w:val="99"/>
    <w:semiHidden/>
    <w:rsid w:val="00D15772"/>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Mkatabulky16">
    <w:name w:val="Mřížka tabulky16"/>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sicktabulka11">
    <w:name w:val="Klasická tabulka 11"/>
    <w:uiPriority w:val="99"/>
    <w:semiHidden/>
    <w:rsid w:val="00D15772"/>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Klasicktabulka21">
    <w:name w:val="Klasická tabulka 21"/>
    <w:uiPriority w:val="99"/>
    <w:semiHidden/>
    <w:rsid w:val="00D15772"/>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Mkatabulky151">
    <w:name w:val="Mřížka tabulky15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
    <w:name w:val="Mřížka tabulky17"/>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
    <w:name w:val="Mřížka tabulky2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
    <w:name w:val="Mřížka tabulky3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
    <w:name w:val="Mřížka tabulky4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
    <w:name w:val="Mřížka tabulky5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1">
    <w:name w:val="Mřížka tabulky6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1">
    <w:name w:val="Mřížka tabulky7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1">
    <w:name w:val="Mřížka tabulky8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1">
    <w:name w:val="Mřížka tabulky9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1">
    <w:name w:val="Mřížka tabulky10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1">
    <w:name w:val="Mřížka tabulky1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1">
    <w:name w:val="Mřížka tabulky12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1">
    <w:name w:val="Mřížka tabulky13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1">
    <w:name w:val="Mřížka tabulky14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1">
    <w:name w:val="Mřížka tabulky16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0">
    <w:name w:val="Mřížka tabulky 51"/>
    <w:uiPriority w:val="99"/>
    <w:rsid w:val="00D15772"/>
    <w:pPr>
      <w:widowControl w:val="0"/>
      <w:ind w:firstLine="567"/>
      <w:jc w:val="both"/>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Klasicktabulka31">
    <w:name w:val="Klasická tabulka 31"/>
    <w:uiPriority w:val="99"/>
    <w:semiHidden/>
    <w:rsid w:val="00D15772"/>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Klasicktabulka41">
    <w:name w:val="Klasická tabulka 41"/>
    <w:uiPriority w:val="99"/>
    <w:semiHidden/>
    <w:rsid w:val="00D15772"/>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Moderntabulka1">
    <w:name w:val="Moderní tabulka1"/>
    <w:uiPriority w:val="99"/>
    <w:semiHidden/>
    <w:rsid w:val="00D15772"/>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Motivtabulky1">
    <w:name w:val="Motiv tabulky1"/>
    <w:uiPriority w:val="99"/>
    <w:semiHidden/>
    <w:rsid w:val="00D1577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0">
    <w:name w:val="Mřížka tabulky 11"/>
    <w:uiPriority w:val="99"/>
    <w:semiHidden/>
    <w:rsid w:val="00D15772"/>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Mkatabulky210">
    <w:name w:val="Mřížka tabulky 21"/>
    <w:uiPriority w:val="99"/>
    <w:semiHidden/>
    <w:rsid w:val="00D15772"/>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Mkatabulky310">
    <w:name w:val="Mřížka tabulky 31"/>
    <w:uiPriority w:val="99"/>
    <w:semiHidden/>
    <w:rsid w:val="00D15772"/>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Mkatabulky410">
    <w:name w:val="Mřížka tabulky 41"/>
    <w:uiPriority w:val="99"/>
    <w:semiHidden/>
    <w:rsid w:val="00D15772"/>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Mkatabulky52">
    <w:name w:val="Mřížka tabulky 52"/>
    <w:uiPriority w:val="99"/>
    <w:semiHidden/>
    <w:rsid w:val="00D15772"/>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Mkatabulky610">
    <w:name w:val="Mřížka tabulky 61"/>
    <w:uiPriority w:val="99"/>
    <w:semiHidden/>
    <w:rsid w:val="00D15772"/>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Mkatabulky710">
    <w:name w:val="Mřížka tabulky 71"/>
    <w:uiPriority w:val="99"/>
    <w:semiHidden/>
    <w:rsid w:val="00D15772"/>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Mkatabulky810">
    <w:name w:val="Mřížka tabulky 81"/>
    <w:uiPriority w:val="99"/>
    <w:semiHidden/>
    <w:rsid w:val="00D15772"/>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Profesionlntabulka1">
    <w:name w:val="Profesionální tabulka1"/>
    <w:uiPriority w:val="99"/>
    <w:semiHidden/>
    <w:rsid w:val="00D15772"/>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Sloupcetabulky11">
    <w:name w:val="Sloupce tabulky 11"/>
    <w:uiPriority w:val="99"/>
    <w:semiHidden/>
    <w:rsid w:val="00D15772"/>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Sloupcetabulky21">
    <w:name w:val="Sloupce tabulky 21"/>
    <w:uiPriority w:val="99"/>
    <w:semiHidden/>
    <w:rsid w:val="00D15772"/>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style>
  <w:style w:type="table" w:customStyle="1" w:styleId="Sloupcetabulky31">
    <w:name w:val="Sloupce tabulky 31"/>
    <w:uiPriority w:val="99"/>
    <w:semiHidden/>
    <w:rsid w:val="00D15772"/>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Sloupcetabulky41">
    <w:name w:val="Sloupce tabulky 41"/>
    <w:uiPriority w:val="99"/>
    <w:semiHidden/>
    <w:rsid w:val="00D15772"/>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style>
  <w:style w:type="table" w:customStyle="1" w:styleId="Sloupcetabulky51">
    <w:name w:val="Sloupce tabulky 51"/>
    <w:uiPriority w:val="99"/>
    <w:semiHidden/>
    <w:rsid w:val="00D15772"/>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ulkajakoseznam11">
    <w:name w:val="Tabulka jako seznam 11"/>
    <w:uiPriority w:val="99"/>
    <w:semiHidden/>
    <w:rsid w:val="00D15772"/>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ulkajakoseznam21">
    <w:name w:val="Tabulka jako seznam 21"/>
    <w:uiPriority w:val="99"/>
    <w:semiHidden/>
    <w:rsid w:val="00D15772"/>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Tabulkajakoseznam31">
    <w:name w:val="Tabulka jako seznam 31"/>
    <w:uiPriority w:val="99"/>
    <w:semiHidden/>
    <w:rsid w:val="00D15772"/>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ulkajakoseznam41">
    <w:name w:val="Tabulka jako seznam 41"/>
    <w:uiPriority w:val="99"/>
    <w:semiHidden/>
    <w:rsid w:val="00D15772"/>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ulkajakoseznam51">
    <w:name w:val="Tabulka jako seznam 51"/>
    <w:uiPriority w:val="99"/>
    <w:semiHidden/>
    <w:rsid w:val="00D15772"/>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ulkajakoseznam61">
    <w:name w:val="Tabulka jako seznam 61"/>
    <w:uiPriority w:val="99"/>
    <w:semiHidden/>
    <w:rsid w:val="00D15772"/>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ulkajakoseznam71">
    <w:name w:val="Tabulka jako seznam 71"/>
    <w:uiPriority w:val="99"/>
    <w:semiHidden/>
    <w:rsid w:val="00D15772"/>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ulkajakoseznam81">
    <w:name w:val="Tabulka jako seznam 81"/>
    <w:uiPriority w:val="99"/>
    <w:semiHidden/>
    <w:rsid w:val="00D15772"/>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ulkasprostorovmiefekty11">
    <w:name w:val="Tabulka s prostorovými efekty 11"/>
    <w:uiPriority w:val="99"/>
    <w:semiHidden/>
    <w:rsid w:val="00D15772"/>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style>
  <w:style w:type="table" w:customStyle="1" w:styleId="Tabulkasprostorovmiefekty21">
    <w:name w:val="Tabulka s prostorovými efekty 21"/>
    <w:uiPriority w:val="99"/>
    <w:semiHidden/>
    <w:rsid w:val="00D15772"/>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style>
  <w:style w:type="table" w:customStyle="1" w:styleId="Tabulkasprostorovmiefekty31">
    <w:name w:val="Tabulka s prostorovými efekty 31"/>
    <w:uiPriority w:val="99"/>
    <w:semiHidden/>
    <w:rsid w:val="00D15772"/>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Tabulkastlumenmibarvami11">
    <w:name w:val="Tabulka s tlumenými barvami 11"/>
    <w:uiPriority w:val="99"/>
    <w:semiHidden/>
    <w:rsid w:val="00D15772"/>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style>
  <w:style w:type="table" w:customStyle="1" w:styleId="Tabulkastlumenmibarvami21">
    <w:name w:val="Tabulka s tlumenými barvami 21"/>
    <w:uiPriority w:val="99"/>
    <w:semiHidden/>
    <w:rsid w:val="00D15772"/>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Webovtabulka11">
    <w:name w:val="Webová tabulka 11"/>
    <w:uiPriority w:val="99"/>
    <w:semiHidden/>
    <w:rsid w:val="00D15772"/>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Webovtabulka21">
    <w:name w:val="Webová tabulka 21"/>
    <w:uiPriority w:val="99"/>
    <w:semiHidden/>
    <w:rsid w:val="00D15772"/>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Webovtabulka31">
    <w:name w:val="Webová tabulka 31"/>
    <w:uiPriority w:val="99"/>
    <w:semiHidden/>
    <w:rsid w:val="00D15772"/>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Mkatabulky152">
    <w:name w:val="Mřížka tabulky15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
    <w:name w:val="Mřížka tabulky19"/>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2">
    <w:name w:val="Mřížka tabulky2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2">
    <w:name w:val="Mřížka tabulky3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2">
    <w:name w:val="Mřížka tabulky4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20">
    <w:name w:val="Mřížka tabulky5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2">
    <w:name w:val="Mřížka tabulky6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2">
    <w:name w:val="Mřížka tabulky7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2">
    <w:name w:val="Mřížka tabulky8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2">
    <w:name w:val="Mřížka tabulky9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dpis10">
    <w:name w:val="Nadpis1"/>
    <w:basedOn w:val="Zkladntext"/>
    <w:link w:val="Nadpis1Char0"/>
    <w:uiPriority w:val="99"/>
    <w:rsid w:val="00D15772"/>
    <w:pPr>
      <w:widowControl/>
      <w:spacing w:line="360" w:lineRule="auto"/>
      <w:ind w:firstLine="0"/>
    </w:pPr>
    <w:rPr>
      <w:rFonts w:ascii="Calibri" w:eastAsia="Calibri" w:hAnsi="Calibri"/>
      <w:b/>
      <w:szCs w:val="20"/>
    </w:rPr>
  </w:style>
  <w:style w:type="table" w:customStyle="1" w:styleId="Mkatabulky102">
    <w:name w:val="Mřížka tabulky10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2">
    <w:name w:val="Mřížka tabulky11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2">
    <w:name w:val="Mřížka tabulky12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2">
    <w:name w:val="Mřížka tabulky13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2">
    <w:name w:val="Mřížka tabulky14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0">
    <w:name w:val="Nadpis1 Char"/>
    <w:link w:val="Nadpis10"/>
    <w:uiPriority w:val="99"/>
    <w:locked/>
    <w:rsid w:val="00D15772"/>
    <w:rPr>
      <w:rFonts w:ascii="Calibri" w:hAnsi="Calibri"/>
      <w:b/>
      <w:sz w:val="24"/>
    </w:rPr>
  </w:style>
  <w:style w:type="table" w:customStyle="1" w:styleId="Mkatabulky162">
    <w:name w:val="Mřížka tabulky162"/>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zvrendokumentuChar">
    <w:name w:val="Rozvržení dokumentu Char"/>
    <w:uiPriority w:val="99"/>
    <w:semiHidden/>
    <w:rsid w:val="00D15772"/>
    <w:rPr>
      <w:rFonts w:ascii="Tahoma" w:hAnsi="Tahoma"/>
      <w:sz w:val="24"/>
      <w:shd w:val="clear" w:color="auto" w:fill="000080"/>
      <w:lang w:eastAsia="cs-CZ"/>
    </w:rPr>
  </w:style>
  <w:style w:type="table" w:customStyle="1" w:styleId="Mkatabulky1511">
    <w:name w:val="Mřížka tabulky15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1">
    <w:name w:val="Mřížka tabulky17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1">
    <w:name w:val="Mřížka tabulky2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1">
    <w:name w:val="Mřížka tabulky3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1">
    <w:name w:val="Mřížka tabulky4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1">
    <w:name w:val="Mřížka tabulky5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11">
    <w:name w:val="Mřížka tabulky6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11">
    <w:name w:val="Mřížka tabulky7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11">
    <w:name w:val="Mřížka tabulky8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11">
    <w:name w:val="Mřížka tabulky9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11">
    <w:name w:val="Mřížka tabulky10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11">
    <w:name w:val="Mřížka tabulky11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11">
    <w:name w:val="Mřížka tabulky12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11">
    <w:name w:val="Mřížka tabulky13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11">
    <w:name w:val="Mřížka tabulky14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11">
    <w:name w:val="Mřížka tabulky1611"/>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10">
    <w:name w:val="Mřížka tabulky 511"/>
    <w:uiPriority w:val="99"/>
    <w:rsid w:val="00D15772"/>
    <w:pPr>
      <w:widowControl w:val="0"/>
      <w:ind w:firstLine="567"/>
      <w:jc w:val="both"/>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RozvrendokumentuChar1">
    <w:name w:val="Rozvržení dokumentu Char1"/>
    <w:uiPriority w:val="99"/>
    <w:semiHidden/>
    <w:rsid w:val="00D15772"/>
    <w:rPr>
      <w:rFonts w:ascii="Tahoma" w:hAnsi="Tahoma"/>
      <w:sz w:val="16"/>
      <w:lang w:eastAsia="cs-CZ"/>
    </w:rPr>
  </w:style>
  <w:style w:type="character" w:customStyle="1" w:styleId="RozloendokumentuChar1">
    <w:name w:val="Rozložení dokumentu Char1"/>
    <w:uiPriority w:val="99"/>
    <w:semiHidden/>
    <w:rsid w:val="00D15772"/>
    <w:rPr>
      <w:rFonts w:ascii="Tahoma" w:hAnsi="Tahoma"/>
      <w:sz w:val="16"/>
    </w:rPr>
  </w:style>
  <w:style w:type="paragraph" w:styleId="Podtitul">
    <w:name w:val="Subtitle"/>
    <w:basedOn w:val="Normln"/>
    <w:link w:val="PodtitulChar"/>
    <w:uiPriority w:val="99"/>
    <w:qFormat/>
    <w:rsid w:val="00D15772"/>
    <w:pPr>
      <w:widowControl/>
      <w:ind w:left="426" w:firstLine="0"/>
      <w:jc w:val="left"/>
    </w:pPr>
    <w:rPr>
      <w:szCs w:val="20"/>
    </w:rPr>
  </w:style>
  <w:style w:type="character" w:customStyle="1" w:styleId="PodtitulChar">
    <w:name w:val="Podtitul Char"/>
    <w:basedOn w:val="Standardnpsmoodstavce"/>
    <w:link w:val="Podtitul"/>
    <w:uiPriority w:val="99"/>
    <w:locked/>
    <w:rsid w:val="00D15772"/>
    <w:rPr>
      <w:rFonts w:ascii="Times New Roman" w:hAnsi="Times New Roman" w:cs="Times New Roman"/>
      <w:sz w:val="20"/>
      <w:szCs w:val="20"/>
    </w:rPr>
  </w:style>
  <w:style w:type="paragraph" w:customStyle="1" w:styleId="Zkladntext211">
    <w:name w:val="Základní text 211"/>
    <w:basedOn w:val="Normln"/>
    <w:uiPriority w:val="99"/>
    <w:rsid w:val="00D15772"/>
    <w:pPr>
      <w:widowControl/>
      <w:suppressAutoHyphens/>
      <w:ind w:firstLine="0"/>
    </w:pPr>
    <w:rPr>
      <w:lang w:eastAsia="ar-SA"/>
    </w:rPr>
  </w:style>
  <w:style w:type="paragraph" w:styleId="Revize">
    <w:name w:val="Revision"/>
    <w:hidden/>
    <w:uiPriority w:val="99"/>
    <w:semiHidden/>
    <w:rsid w:val="00D15772"/>
    <w:rPr>
      <w:lang w:eastAsia="en-US"/>
    </w:rPr>
  </w:style>
  <w:style w:type="table" w:customStyle="1" w:styleId="Mkatabulky200">
    <w:name w:val="Mřížka tabulky20"/>
    <w:uiPriority w:val="99"/>
    <w:rsid w:val="00D157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aliases w:val="Odstavec_muj,Nad,_Odstavec se seznamem,Seznam - odrážky,Odstavec cíl se seznamem,Odstavec se seznamem5"/>
    <w:basedOn w:val="Normln"/>
    <w:link w:val="OdstavecseseznamemChar"/>
    <w:uiPriority w:val="99"/>
    <w:qFormat/>
    <w:rsid w:val="00D15772"/>
    <w:pPr>
      <w:ind w:left="708"/>
    </w:pPr>
    <w:rPr>
      <w:rFonts w:ascii="Calibri" w:eastAsia="Calibri" w:hAnsi="Calibri"/>
      <w:szCs w:val="20"/>
    </w:rPr>
  </w:style>
  <w:style w:type="paragraph" w:customStyle="1" w:styleId="StylObsah1Vlevo074cm">
    <w:name w:val="Styl Obsah 1 + Vlevo:  074 cm"/>
    <w:basedOn w:val="Obsah1"/>
    <w:uiPriority w:val="99"/>
    <w:rsid w:val="00407000"/>
    <w:pPr>
      <w:ind w:left="987" w:hanging="567"/>
    </w:pPr>
    <w:rPr>
      <w:rFonts w:eastAsia="Calibri" w:cs="Times New Roman"/>
      <w:bCs w:val="0"/>
      <w:szCs w:val="20"/>
    </w:rPr>
  </w:style>
  <w:style w:type="paragraph" w:customStyle="1" w:styleId="StylStylObsah1Vlevo074cmVlevo095cmPedsazen">
    <w:name w:val="Styl Styl Obsah 1 + Vlevo:  074 cm + Vlevo:  095 cm Předsazení: ..."/>
    <w:basedOn w:val="StylObsah1Vlevo074cm"/>
    <w:uiPriority w:val="99"/>
    <w:rsid w:val="00407000"/>
    <w:pPr>
      <w:ind w:left="839" w:hanging="357"/>
    </w:pPr>
  </w:style>
  <w:style w:type="paragraph" w:styleId="Nadpisobsahu">
    <w:name w:val="TOC Heading"/>
    <w:basedOn w:val="Nadpis1"/>
    <w:next w:val="Normln"/>
    <w:uiPriority w:val="99"/>
    <w:qFormat/>
    <w:rsid w:val="002124ED"/>
    <w:pPr>
      <w:keepNext/>
      <w:keepLines/>
      <w:widowControl/>
      <w:tabs>
        <w:tab w:val="clear" w:pos="720"/>
      </w:tabs>
      <w:spacing w:before="480" w:line="276" w:lineRule="auto"/>
      <w:jc w:val="left"/>
      <w:outlineLvl w:val="9"/>
    </w:pPr>
    <w:rPr>
      <w:rFonts w:ascii="Cambria" w:hAnsi="Cambria"/>
      <w:color w:val="365F91"/>
      <w:kern w:val="0"/>
      <w:sz w:val="28"/>
      <w:szCs w:val="28"/>
    </w:rPr>
  </w:style>
  <w:style w:type="numbering" w:customStyle="1" w:styleId="lnekoddl61">
    <w:name w:val="Článek/oddíl61"/>
    <w:rsid w:val="005B3CBC"/>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adpis1Char">
    <w:name w:val="lnekoddl6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7836">
      <w:marLeft w:val="0"/>
      <w:marRight w:val="0"/>
      <w:marTop w:val="0"/>
      <w:marBottom w:val="0"/>
      <w:divBdr>
        <w:top w:val="none" w:sz="0" w:space="0" w:color="auto"/>
        <w:left w:val="none" w:sz="0" w:space="0" w:color="auto"/>
        <w:bottom w:val="none" w:sz="0" w:space="0" w:color="auto"/>
        <w:right w:val="none" w:sz="0" w:space="0" w:color="auto"/>
      </w:divBdr>
    </w:div>
    <w:div w:id="209927837">
      <w:marLeft w:val="0"/>
      <w:marRight w:val="0"/>
      <w:marTop w:val="0"/>
      <w:marBottom w:val="0"/>
      <w:divBdr>
        <w:top w:val="none" w:sz="0" w:space="0" w:color="auto"/>
        <w:left w:val="none" w:sz="0" w:space="0" w:color="auto"/>
        <w:bottom w:val="none" w:sz="0" w:space="0" w:color="auto"/>
        <w:right w:val="none" w:sz="0" w:space="0" w:color="auto"/>
      </w:divBdr>
    </w:div>
    <w:div w:id="209927838">
      <w:marLeft w:val="0"/>
      <w:marRight w:val="0"/>
      <w:marTop w:val="0"/>
      <w:marBottom w:val="0"/>
      <w:divBdr>
        <w:top w:val="none" w:sz="0" w:space="0" w:color="auto"/>
        <w:left w:val="none" w:sz="0" w:space="0" w:color="auto"/>
        <w:bottom w:val="none" w:sz="0" w:space="0" w:color="auto"/>
        <w:right w:val="none" w:sz="0" w:space="0" w:color="auto"/>
      </w:divBdr>
    </w:div>
    <w:div w:id="209927839">
      <w:marLeft w:val="0"/>
      <w:marRight w:val="0"/>
      <w:marTop w:val="0"/>
      <w:marBottom w:val="0"/>
      <w:divBdr>
        <w:top w:val="none" w:sz="0" w:space="0" w:color="auto"/>
        <w:left w:val="none" w:sz="0" w:space="0" w:color="auto"/>
        <w:bottom w:val="none" w:sz="0" w:space="0" w:color="auto"/>
        <w:right w:val="none" w:sz="0" w:space="0" w:color="auto"/>
      </w:divBdr>
    </w:div>
    <w:div w:id="209927840">
      <w:marLeft w:val="0"/>
      <w:marRight w:val="0"/>
      <w:marTop w:val="0"/>
      <w:marBottom w:val="0"/>
      <w:divBdr>
        <w:top w:val="none" w:sz="0" w:space="0" w:color="auto"/>
        <w:left w:val="none" w:sz="0" w:space="0" w:color="auto"/>
        <w:bottom w:val="none" w:sz="0" w:space="0" w:color="auto"/>
        <w:right w:val="none" w:sz="0" w:space="0" w:color="auto"/>
      </w:divBdr>
    </w:div>
    <w:div w:id="209927841">
      <w:marLeft w:val="0"/>
      <w:marRight w:val="0"/>
      <w:marTop w:val="0"/>
      <w:marBottom w:val="0"/>
      <w:divBdr>
        <w:top w:val="none" w:sz="0" w:space="0" w:color="auto"/>
        <w:left w:val="none" w:sz="0" w:space="0" w:color="auto"/>
        <w:bottom w:val="none" w:sz="0" w:space="0" w:color="auto"/>
        <w:right w:val="none" w:sz="0" w:space="0" w:color="auto"/>
      </w:divBdr>
    </w:div>
    <w:div w:id="209927842">
      <w:marLeft w:val="0"/>
      <w:marRight w:val="0"/>
      <w:marTop w:val="0"/>
      <w:marBottom w:val="0"/>
      <w:divBdr>
        <w:top w:val="none" w:sz="0" w:space="0" w:color="auto"/>
        <w:left w:val="none" w:sz="0" w:space="0" w:color="auto"/>
        <w:bottom w:val="none" w:sz="0" w:space="0" w:color="auto"/>
        <w:right w:val="none" w:sz="0" w:space="0" w:color="auto"/>
      </w:divBdr>
    </w:div>
    <w:div w:id="209927843">
      <w:marLeft w:val="0"/>
      <w:marRight w:val="0"/>
      <w:marTop w:val="0"/>
      <w:marBottom w:val="0"/>
      <w:divBdr>
        <w:top w:val="none" w:sz="0" w:space="0" w:color="auto"/>
        <w:left w:val="none" w:sz="0" w:space="0" w:color="auto"/>
        <w:bottom w:val="none" w:sz="0" w:space="0" w:color="auto"/>
        <w:right w:val="none" w:sz="0" w:space="0" w:color="auto"/>
      </w:divBdr>
    </w:div>
    <w:div w:id="209927844">
      <w:marLeft w:val="0"/>
      <w:marRight w:val="0"/>
      <w:marTop w:val="0"/>
      <w:marBottom w:val="0"/>
      <w:divBdr>
        <w:top w:val="none" w:sz="0" w:space="0" w:color="auto"/>
        <w:left w:val="none" w:sz="0" w:space="0" w:color="auto"/>
        <w:bottom w:val="none" w:sz="0" w:space="0" w:color="auto"/>
        <w:right w:val="none" w:sz="0" w:space="0" w:color="auto"/>
      </w:divBdr>
    </w:div>
    <w:div w:id="209927845">
      <w:marLeft w:val="0"/>
      <w:marRight w:val="0"/>
      <w:marTop w:val="0"/>
      <w:marBottom w:val="0"/>
      <w:divBdr>
        <w:top w:val="none" w:sz="0" w:space="0" w:color="auto"/>
        <w:left w:val="none" w:sz="0" w:space="0" w:color="auto"/>
        <w:bottom w:val="none" w:sz="0" w:space="0" w:color="auto"/>
        <w:right w:val="none" w:sz="0" w:space="0" w:color="auto"/>
      </w:divBdr>
    </w:div>
    <w:div w:id="209927846">
      <w:marLeft w:val="0"/>
      <w:marRight w:val="0"/>
      <w:marTop w:val="0"/>
      <w:marBottom w:val="0"/>
      <w:divBdr>
        <w:top w:val="none" w:sz="0" w:space="0" w:color="auto"/>
        <w:left w:val="none" w:sz="0" w:space="0" w:color="auto"/>
        <w:bottom w:val="none" w:sz="0" w:space="0" w:color="auto"/>
        <w:right w:val="none" w:sz="0" w:space="0" w:color="auto"/>
      </w:divBdr>
    </w:div>
    <w:div w:id="209927847">
      <w:marLeft w:val="0"/>
      <w:marRight w:val="0"/>
      <w:marTop w:val="0"/>
      <w:marBottom w:val="0"/>
      <w:divBdr>
        <w:top w:val="none" w:sz="0" w:space="0" w:color="auto"/>
        <w:left w:val="none" w:sz="0" w:space="0" w:color="auto"/>
        <w:bottom w:val="none" w:sz="0" w:space="0" w:color="auto"/>
        <w:right w:val="none" w:sz="0" w:space="0" w:color="auto"/>
      </w:divBdr>
    </w:div>
    <w:div w:id="209927848">
      <w:marLeft w:val="0"/>
      <w:marRight w:val="0"/>
      <w:marTop w:val="0"/>
      <w:marBottom w:val="0"/>
      <w:divBdr>
        <w:top w:val="none" w:sz="0" w:space="0" w:color="auto"/>
        <w:left w:val="none" w:sz="0" w:space="0" w:color="auto"/>
        <w:bottom w:val="none" w:sz="0" w:space="0" w:color="auto"/>
        <w:right w:val="none" w:sz="0" w:space="0" w:color="auto"/>
      </w:divBdr>
    </w:div>
    <w:div w:id="209927849">
      <w:marLeft w:val="0"/>
      <w:marRight w:val="0"/>
      <w:marTop w:val="0"/>
      <w:marBottom w:val="0"/>
      <w:divBdr>
        <w:top w:val="none" w:sz="0" w:space="0" w:color="auto"/>
        <w:left w:val="none" w:sz="0" w:space="0" w:color="auto"/>
        <w:bottom w:val="none" w:sz="0" w:space="0" w:color="auto"/>
        <w:right w:val="none" w:sz="0" w:space="0" w:color="auto"/>
      </w:divBdr>
    </w:div>
    <w:div w:id="209927850">
      <w:marLeft w:val="0"/>
      <w:marRight w:val="0"/>
      <w:marTop w:val="0"/>
      <w:marBottom w:val="0"/>
      <w:divBdr>
        <w:top w:val="none" w:sz="0" w:space="0" w:color="auto"/>
        <w:left w:val="none" w:sz="0" w:space="0" w:color="auto"/>
        <w:bottom w:val="none" w:sz="0" w:space="0" w:color="auto"/>
        <w:right w:val="none" w:sz="0" w:space="0" w:color="auto"/>
      </w:divBdr>
    </w:div>
    <w:div w:id="209927851">
      <w:marLeft w:val="0"/>
      <w:marRight w:val="0"/>
      <w:marTop w:val="0"/>
      <w:marBottom w:val="0"/>
      <w:divBdr>
        <w:top w:val="none" w:sz="0" w:space="0" w:color="auto"/>
        <w:left w:val="none" w:sz="0" w:space="0" w:color="auto"/>
        <w:bottom w:val="none" w:sz="0" w:space="0" w:color="auto"/>
        <w:right w:val="none" w:sz="0" w:space="0" w:color="auto"/>
      </w:divBdr>
    </w:div>
    <w:div w:id="209927852">
      <w:marLeft w:val="0"/>
      <w:marRight w:val="0"/>
      <w:marTop w:val="0"/>
      <w:marBottom w:val="0"/>
      <w:divBdr>
        <w:top w:val="none" w:sz="0" w:space="0" w:color="auto"/>
        <w:left w:val="none" w:sz="0" w:space="0" w:color="auto"/>
        <w:bottom w:val="none" w:sz="0" w:space="0" w:color="auto"/>
        <w:right w:val="none" w:sz="0" w:space="0" w:color="auto"/>
      </w:divBdr>
    </w:div>
    <w:div w:id="209927853">
      <w:marLeft w:val="0"/>
      <w:marRight w:val="0"/>
      <w:marTop w:val="0"/>
      <w:marBottom w:val="0"/>
      <w:divBdr>
        <w:top w:val="none" w:sz="0" w:space="0" w:color="auto"/>
        <w:left w:val="none" w:sz="0" w:space="0" w:color="auto"/>
        <w:bottom w:val="none" w:sz="0" w:space="0" w:color="auto"/>
        <w:right w:val="none" w:sz="0" w:space="0" w:color="auto"/>
      </w:divBdr>
    </w:div>
    <w:div w:id="209927854">
      <w:marLeft w:val="0"/>
      <w:marRight w:val="0"/>
      <w:marTop w:val="0"/>
      <w:marBottom w:val="0"/>
      <w:divBdr>
        <w:top w:val="none" w:sz="0" w:space="0" w:color="auto"/>
        <w:left w:val="none" w:sz="0" w:space="0" w:color="auto"/>
        <w:bottom w:val="none" w:sz="0" w:space="0" w:color="auto"/>
        <w:right w:val="none" w:sz="0" w:space="0" w:color="auto"/>
      </w:divBdr>
    </w:div>
    <w:div w:id="209927855">
      <w:marLeft w:val="0"/>
      <w:marRight w:val="0"/>
      <w:marTop w:val="0"/>
      <w:marBottom w:val="0"/>
      <w:divBdr>
        <w:top w:val="none" w:sz="0" w:space="0" w:color="auto"/>
        <w:left w:val="none" w:sz="0" w:space="0" w:color="auto"/>
        <w:bottom w:val="none" w:sz="0" w:space="0" w:color="auto"/>
        <w:right w:val="none" w:sz="0" w:space="0" w:color="auto"/>
      </w:divBdr>
    </w:div>
    <w:div w:id="209927856">
      <w:marLeft w:val="0"/>
      <w:marRight w:val="0"/>
      <w:marTop w:val="0"/>
      <w:marBottom w:val="0"/>
      <w:divBdr>
        <w:top w:val="none" w:sz="0" w:space="0" w:color="auto"/>
        <w:left w:val="none" w:sz="0" w:space="0" w:color="auto"/>
        <w:bottom w:val="none" w:sz="0" w:space="0" w:color="auto"/>
        <w:right w:val="none" w:sz="0" w:space="0" w:color="auto"/>
      </w:divBdr>
    </w:div>
    <w:div w:id="209927857">
      <w:marLeft w:val="0"/>
      <w:marRight w:val="0"/>
      <w:marTop w:val="0"/>
      <w:marBottom w:val="0"/>
      <w:divBdr>
        <w:top w:val="none" w:sz="0" w:space="0" w:color="auto"/>
        <w:left w:val="none" w:sz="0" w:space="0" w:color="auto"/>
        <w:bottom w:val="none" w:sz="0" w:space="0" w:color="auto"/>
        <w:right w:val="none" w:sz="0" w:space="0" w:color="auto"/>
      </w:divBdr>
    </w:div>
    <w:div w:id="209927858">
      <w:marLeft w:val="0"/>
      <w:marRight w:val="0"/>
      <w:marTop w:val="0"/>
      <w:marBottom w:val="0"/>
      <w:divBdr>
        <w:top w:val="none" w:sz="0" w:space="0" w:color="auto"/>
        <w:left w:val="none" w:sz="0" w:space="0" w:color="auto"/>
        <w:bottom w:val="none" w:sz="0" w:space="0" w:color="auto"/>
        <w:right w:val="none" w:sz="0" w:space="0" w:color="auto"/>
      </w:divBdr>
    </w:div>
    <w:div w:id="209927859">
      <w:marLeft w:val="0"/>
      <w:marRight w:val="0"/>
      <w:marTop w:val="0"/>
      <w:marBottom w:val="0"/>
      <w:divBdr>
        <w:top w:val="none" w:sz="0" w:space="0" w:color="auto"/>
        <w:left w:val="none" w:sz="0" w:space="0" w:color="auto"/>
        <w:bottom w:val="none" w:sz="0" w:space="0" w:color="auto"/>
        <w:right w:val="none" w:sz="0" w:space="0" w:color="auto"/>
      </w:divBdr>
    </w:div>
    <w:div w:id="209927860">
      <w:marLeft w:val="0"/>
      <w:marRight w:val="0"/>
      <w:marTop w:val="0"/>
      <w:marBottom w:val="0"/>
      <w:divBdr>
        <w:top w:val="none" w:sz="0" w:space="0" w:color="auto"/>
        <w:left w:val="none" w:sz="0" w:space="0" w:color="auto"/>
        <w:bottom w:val="none" w:sz="0" w:space="0" w:color="auto"/>
        <w:right w:val="none" w:sz="0" w:space="0" w:color="auto"/>
      </w:divBdr>
    </w:div>
    <w:div w:id="209927861">
      <w:marLeft w:val="0"/>
      <w:marRight w:val="0"/>
      <w:marTop w:val="0"/>
      <w:marBottom w:val="0"/>
      <w:divBdr>
        <w:top w:val="none" w:sz="0" w:space="0" w:color="auto"/>
        <w:left w:val="none" w:sz="0" w:space="0" w:color="auto"/>
        <w:bottom w:val="none" w:sz="0" w:space="0" w:color="auto"/>
        <w:right w:val="none" w:sz="0" w:space="0" w:color="auto"/>
      </w:divBdr>
    </w:div>
    <w:div w:id="209927862">
      <w:marLeft w:val="0"/>
      <w:marRight w:val="0"/>
      <w:marTop w:val="0"/>
      <w:marBottom w:val="0"/>
      <w:divBdr>
        <w:top w:val="none" w:sz="0" w:space="0" w:color="auto"/>
        <w:left w:val="none" w:sz="0" w:space="0" w:color="auto"/>
        <w:bottom w:val="none" w:sz="0" w:space="0" w:color="auto"/>
        <w:right w:val="none" w:sz="0" w:space="0" w:color="auto"/>
      </w:divBdr>
    </w:div>
    <w:div w:id="209927863">
      <w:marLeft w:val="0"/>
      <w:marRight w:val="0"/>
      <w:marTop w:val="0"/>
      <w:marBottom w:val="0"/>
      <w:divBdr>
        <w:top w:val="none" w:sz="0" w:space="0" w:color="auto"/>
        <w:left w:val="none" w:sz="0" w:space="0" w:color="auto"/>
        <w:bottom w:val="none" w:sz="0" w:space="0" w:color="auto"/>
        <w:right w:val="none" w:sz="0" w:space="0" w:color="auto"/>
      </w:divBdr>
    </w:div>
    <w:div w:id="209927864">
      <w:marLeft w:val="0"/>
      <w:marRight w:val="0"/>
      <w:marTop w:val="0"/>
      <w:marBottom w:val="0"/>
      <w:divBdr>
        <w:top w:val="none" w:sz="0" w:space="0" w:color="auto"/>
        <w:left w:val="none" w:sz="0" w:space="0" w:color="auto"/>
        <w:bottom w:val="none" w:sz="0" w:space="0" w:color="auto"/>
        <w:right w:val="none" w:sz="0" w:space="0" w:color="auto"/>
      </w:divBdr>
    </w:div>
    <w:div w:id="209927865">
      <w:marLeft w:val="0"/>
      <w:marRight w:val="0"/>
      <w:marTop w:val="0"/>
      <w:marBottom w:val="0"/>
      <w:divBdr>
        <w:top w:val="none" w:sz="0" w:space="0" w:color="auto"/>
        <w:left w:val="none" w:sz="0" w:space="0" w:color="auto"/>
        <w:bottom w:val="none" w:sz="0" w:space="0" w:color="auto"/>
        <w:right w:val="none" w:sz="0" w:space="0" w:color="auto"/>
      </w:divBdr>
    </w:div>
    <w:div w:id="209927866">
      <w:marLeft w:val="0"/>
      <w:marRight w:val="0"/>
      <w:marTop w:val="0"/>
      <w:marBottom w:val="0"/>
      <w:divBdr>
        <w:top w:val="none" w:sz="0" w:space="0" w:color="auto"/>
        <w:left w:val="none" w:sz="0" w:space="0" w:color="auto"/>
        <w:bottom w:val="none" w:sz="0" w:space="0" w:color="auto"/>
        <w:right w:val="none" w:sz="0" w:space="0" w:color="auto"/>
      </w:divBdr>
    </w:div>
    <w:div w:id="209927867">
      <w:marLeft w:val="0"/>
      <w:marRight w:val="0"/>
      <w:marTop w:val="0"/>
      <w:marBottom w:val="0"/>
      <w:divBdr>
        <w:top w:val="none" w:sz="0" w:space="0" w:color="auto"/>
        <w:left w:val="none" w:sz="0" w:space="0" w:color="auto"/>
        <w:bottom w:val="none" w:sz="0" w:space="0" w:color="auto"/>
        <w:right w:val="none" w:sz="0" w:space="0" w:color="auto"/>
      </w:divBdr>
    </w:div>
    <w:div w:id="209927868">
      <w:marLeft w:val="0"/>
      <w:marRight w:val="0"/>
      <w:marTop w:val="0"/>
      <w:marBottom w:val="0"/>
      <w:divBdr>
        <w:top w:val="none" w:sz="0" w:space="0" w:color="auto"/>
        <w:left w:val="none" w:sz="0" w:space="0" w:color="auto"/>
        <w:bottom w:val="none" w:sz="0" w:space="0" w:color="auto"/>
        <w:right w:val="none" w:sz="0" w:space="0" w:color="auto"/>
      </w:divBdr>
    </w:div>
    <w:div w:id="209927869">
      <w:marLeft w:val="0"/>
      <w:marRight w:val="0"/>
      <w:marTop w:val="0"/>
      <w:marBottom w:val="0"/>
      <w:divBdr>
        <w:top w:val="none" w:sz="0" w:space="0" w:color="auto"/>
        <w:left w:val="none" w:sz="0" w:space="0" w:color="auto"/>
        <w:bottom w:val="none" w:sz="0" w:space="0" w:color="auto"/>
        <w:right w:val="none" w:sz="0" w:space="0" w:color="auto"/>
      </w:divBdr>
    </w:div>
    <w:div w:id="209927870">
      <w:marLeft w:val="0"/>
      <w:marRight w:val="0"/>
      <w:marTop w:val="0"/>
      <w:marBottom w:val="0"/>
      <w:divBdr>
        <w:top w:val="none" w:sz="0" w:space="0" w:color="auto"/>
        <w:left w:val="none" w:sz="0" w:space="0" w:color="auto"/>
        <w:bottom w:val="none" w:sz="0" w:space="0" w:color="auto"/>
        <w:right w:val="none" w:sz="0" w:space="0" w:color="auto"/>
      </w:divBdr>
    </w:div>
    <w:div w:id="209927871">
      <w:marLeft w:val="0"/>
      <w:marRight w:val="0"/>
      <w:marTop w:val="0"/>
      <w:marBottom w:val="0"/>
      <w:divBdr>
        <w:top w:val="none" w:sz="0" w:space="0" w:color="auto"/>
        <w:left w:val="none" w:sz="0" w:space="0" w:color="auto"/>
        <w:bottom w:val="none" w:sz="0" w:space="0" w:color="auto"/>
        <w:right w:val="none" w:sz="0" w:space="0" w:color="auto"/>
      </w:divBdr>
    </w:div>
    <w:div w:id="209927872">
      <w:marLeft w:val="0"/>
      <w:marRight w:val="0"/>
      <w:marTop w:val="0"/>
      <w:marBottom w:val="0"/>
      <w:divBdr>
        <w:top w:val="none" w:sz="0" w:space="0" w:color="auto"/>
        <w:left w:val="none" w:sz="0" w:space="0" w:color="auto"/>
        <w:bottom w:val="none" w:sz="0" w:space="0" w:color="auto"/>
        <w:right w:val="none" w:sz="0" w:space="0" w:color="auto"/>
      </w:divBdr>
    </w:div>
    <w:div w:id="209927873">
      <w:marLeft w:val="0"/>
      <w:marRight w:val="0"/>
      <w:marTop w:val="0"/>
      <w:marBottom w:val="0"/>
      <w:divBdr>
        <w:top w:val="none" w:sz="0" w:space="0" w:color="auto"/>
        <w:left w:val="none" w:sz="0" w:space="0" w:color="auto"/>
        <w:bottom w:val="none" w:sz="0" w:space="0" w:color="auto"/>
        <w:right w:val="none" w:sz="0" w:space="0" w:color="auto"/>
      </w:divBdr>
    </w:div>
    <w:div w:id="209927874">
      <w:marLeft w:val="0"/>
      <w:marRight w:val="0"/>
      <w:marTop w:val="0"/>
      <w:marBottom w:val="0"/>
      <w:divBdr>
        <w:top w:val="none" w:sz="0" w:space="0" w:color="auto"/>
        <w:left w:val="none" w:sz="0" w:space="0" w:color="auto"/>
        <w:bottom w:val="none" w:sz="0" w:space="0" w:color="auto"/>
        <w:right w:val="none" w:sz="0" w:space="0" w:color="auto"/>
      </w:divBdr>
    </w:div>
    <w:div w:id="209927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kp.upol.cz/"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tartupklub.cz/" TargetMode="External"/><Relationship Id="rId2" Type="http://schemas.openxmlformats.org/officeDocument/2006/relationships/styles" Target="styles.xml"/><Relationship Id="rId16" Type="http://schemas.openxmlformats.org/officeDocument/2006/relationships/hyperlink" Target="https://kkp.upol.cz/map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kkp.upol.cz/publikac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kp.upol.cz/podporujeme-kreativni-olomo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40</Pages>
  <Words>13012</Words>
  <Characters>76777</Characters>
  <Application>Microsoft Office Word</Application>
  <DocSecurity>0</DocSecurity>
  <Lines>639</Lines>
  <Paragraphs>179</Paragraphs>
  <ScaleCrop>false</ScaleCrop>
  <Company>MMOL</Company>
  <LinksUpToDate>false</LinksUpToDate>
  <CharactersWithSpaces>89610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Šlachtová Denisa</dc:creator>
  <cp:keywords/>
  <dc:description/>
  <cp:lastModifiedBy>Kruťová Lenka</cp:lastModifiedBy>
  <cp:revision>48</cp:revision>
  <cp:lastPrinted>2021-07-02T08:37:00Z</cp:lastPrinted>
  <dcterms:created xsi:type="dcterms:W3CDTF">2021-07-02T05:39:00Z</dcterms:created>
  <dcterms:modified xsi:type="dcterms:W3CDTF">2021-09-07T08:52:00Z</dcterms:modified>
</cp:coreProperties>
</file>