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Dana Horáková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>Pedagog vytvářející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FZŠ Olomouc, Hálkova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419"/>
        <w:gridCol w:w="5936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Člověk a jeho svět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7F7D90" w:rsidP="006B362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Rovnováha v přírodě – Základní společenstva </w:t>
            </w:r>
            <w:r w:rsidR="006B362D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B362D">
              <w:rPr>
                <w:rFonts w:ascii="Arial Narrow" w:hAnsi="Arial Narrow"/>
                <w:b/>
                <w:bCs/>
                <w:sz w:val="22"/>
                <w:szCs w:val="22"/>
              </w:rPr>
              <w:t>Živočichové na poli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6B36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170A8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138"/>
        <w:gridCol w:w="589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B2405F" w:rsidP="006B36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Rovnováha v přírodě - </w:t>
            </w:r>
            <w:r w:rsidR="007F7D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Základní společenstva </w:t>
            </w:r>
            <w:r w:rsidR="006B362D"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="007F7D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6B362D"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na poli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6B362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Živočichové na poli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0DD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6B362D" w:rsidP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90</w:t>
            </w:r>
            <w:r w:rsidR="00D83B17">
              <w:rPr>
                <w:rFonts w:ascii="Arial Narrow" w:hAnsi="Arial Narrow" w:cs="Arial"/>
                <w:b/>
                <w:sz w:val="22"/>
                <w:szCs w:val="22"/>
              </w:rPr>
              <w:t xml:space="preserve"> min.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970EB1" w:rsidRDefault="006B36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na poli</w:t>
            </w:r>
          </w:p>
          <w:p w:rsidR="006B362D" w:rsidRDefault="006B36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Ptáci na poli</w:t>
            </w:r>
          </w:p>
          <w:p w:rsidR="006B362D" w:rsidRDefault="006B36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Bažant obecný</w:t>
            </w:r>
          </w:p>
          <w:p w:rsidR="006B362D" w:rsidRDefault="006B36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Savci na poli</w:t>
            </w:r>
          </w:p>
          <w:p w:rsidR="006B362D" w:rsidRPr="007C74BD" w:rsidRDefault="006B36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Hraboš polní</w:t>
            </w:r>
          </w:p>
          <w:p w:rsidR="008B7000" w:rsidRPr="00605D33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970EB1" w:rsidRDefault="006B362D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na poli – obrázky, kruhový reflektor</w:t>
            </w:r>
          </w:p>
          <w:p w:rsidR="00970EB1" w:rsidRDefault="006B362D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na poli - ptáci, savci, bezobratlí – přiřazování, kontejnery</w:t>
            </w:r>
          </w:p>
          <w:p w:rsidR="00970EB1" w:rsidRDefault="006B362D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Křížovka </w:t>
            </w:r>
          </w:p>
          <w:p w:rsidR="00970EB1" w:rsidRDefault="006B362D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Ptáci – bažant obecný – </w:t>
            </w:r>
            <w:r w:rsidR="00F62D2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videoukázka,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vyhledávání informací na internetu</w:t>
            </w:r>
          </w:p>
          <w:p w:rsidR="006B362D" w:rsidRDefault="006B362D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Bažant obecný – doplňování slov do textu – použití gumy</w:t>
            </w:r>
          </w:p>
          <w:p w:rsidR="006B362D" w:rsidRDefault="006B362D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Savci </w:t>
            </w:r>
          </w:p>
          <w:p w:rsidR="006B362D" w:rsidRDefault="006B362D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Hraboš polní – odkrývání obrázku</w:t>
            </w:r>
          </w:p>
          <w:p w:rsidR="0084766C" w:rsidRDefault="0084766C" w:rsidP="0084766C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Hraboš polní – vyhledávání informací na internetu</w:t>
            </w:r>
          </w:p>
          <w:p w:rsidR="007C74BD" w:rsidRDefault="00D83B1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</w:t>
            </w:r>
            <w:r w:rsidR="007F7D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</w:t>
            </w:r>
            <w:r w:rsidR="0084766C"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na poli - přiřazování textu</w:t>
            </w:r>
          </w:p>
          <w:p w:rsidR="00560B27" w:rsidRPr="00605D33" w:rsidRDefault="00560B2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Komponenta životní</w:t>
            </w:r>
            <w:r w:rsidR="00FC4262">
              <w:rPr>
                <w:rFonts w:ascii="Arial Narrow" w:hAnsi="Arial Narrow" w:cs="Arial"/>
                <w:b/>
                <w:bCs/>
                <w:sz w:val="22"/>
                <w:szCs w:val="22"/>
              </w:rPr>
              <w:t>ho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prostředí je obsažena na stranách </w:t>
            </w:r>
            <w:r w:rsidR="00B80DD2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</w:t>
            </w:r>
            <w:r w:rsidR="00B80DD2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ve výši 100 %.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1A746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B36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B362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B36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B36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B36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05D3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B36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B36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B36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B36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proofErr w:type="gramStart"/>
      <w:r w:rsidR="00D83B17">
        <w:rPr>
          <w:rFonts w:ascii="Arial Narrow" w:hAnsi="Arial Narrow" w:cs="Arial"/>
          <w:b/>
          <w:bCs/>
          <w:sz w:val="22"/>
          <w:szCs w:val="22"/>
        </w:rPr>
        <w:t>1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6B362D">
        <w:rPr>
          <w:rFonts w:ascii="Arial Narrow" w:hAnsi="Arial Narrow" w:cs="Arial"/>
          <w:b/>
          <w:bCs/>
          <w:sz w:val="22"/>
          <w:szCs w:val="22"/>
        </w:rPr>
        <w:t>1</w:t>
      </w:r>
      <w:r w:rsidR="00D83B17">
        <w:rPr>
          <w:rFonts w:ascii="Arial Narrow" w:hAnsi="Arial Narrow" w:cs="Arial"/>
          <w:b/>
          <w:bCs/>
          <w:sz w:val="22"/>
          <w:szCs w:val="22"/>
        </w:rPr>
        <w:t>2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.201</w:t>
      </w:r>
      <w:r w:rsidR="006B362D">
        <w:rPr>
          <w:rFonts w:ascii="Arial Narrow" w:hAnsi="Arial Narrow" w:cs="Arial"/>
          <w:b/>
          <w:bCs/>
          <w:sz w:val="22"/>
          <w:szCs w:val="22"/>
        </w:rPr>
        <w:t>3</w:t>
      </w:r>
      <w:proofErr w:type="gramEnd"/>
      <w:r w:rsidRPr="007C74BD">
        <w:rPr>
          <w:rFonts w:ascii="Arial Narrow" w:hAnsi="Arial Narrow" w:cs="Arial"/>
          <w:b/>
          <w:bCs/>
          <w:sz w:val="22"/>
          <w:szCs w:val="22"/>
        </w:rPr>
        <w:t>…………………………………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r w:rsidR="00D83B17">
        <w:rPr>
          <w:rFonts w:ascii="Arial Narrow" w:hAnsi="Arial Narrow" w:cs="Arial"/>
          <w:b/>
          <w:bCs/>
          <w:sz w:val="28"/>
          <w:szCs w:val="28"/>
        </w:rPr>
        <w:t>Mgr. Dana Horák</w:t>
      </w:r>
      <w:r w:rsidR="007C74BD" w:rsidRPr="007C74BD">
        <w:rPr>
          <w:rFonts w:ascii="Arial Narrow" w:hAnsi="Arial Narrow" w:cs="Arial"/>
          <w:b/>
          <w:bCs/>
          <w:sz w:val="28"/>
          <w:szCs w:val="28"/>
        </w:rPr>
        <w:t>ová</w:t>
      </w:r>
      <w:r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2A" w:rsidRDefault="00B9582A">
      <w:r>
        <w:separator/>
      </w:r>
    </w:p>
  </w:endnote>
  <w:endnote w:type="continuationSeparator" w:id="0">
    <w:p w:rsidR="00B9582A" w:rsidRDefault="00B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533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533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462">
      <w:rPr>
        <w:rStyle w:val="slostrnky"/>
        <w:noProof/>
      </w:rPr>
      <w:t>2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2A" w:rsidRDefault="00B9582A">
      <w:r>
        <w:separator/>
      </w:r>
    </w:p>
  </w:footnote>
  <w:footnote w:type="continuationSeparator" w:id="0">
    <w:p w:rsidR="00B9582A" w:rsidRDefault="00B9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00"/>
    <w:rsid w:val="00010748"/>
    <w:rsid w:val="00170A8D"/>
    <w:rsid w:val="001A4F71"/>
    <w:rsid w:val="001A7462"/>
    <w:rsid w:val="002776A2"/>
    <w:rsid w:val="002C00BC"/>
    <w:rsid w:val="002E29D0"/>
    <w:rsid w:val="004C6D5D"/>
    <w:rsid w:val="004E2FC4"/>
    <w:rsid w:val="004F085A"/>
    <w:rsid w:val="00533249"/>
    <w:rsid w:val="00560B27"/>
    <w:rsid w:val="00584105"/>
    <w:rsid w:val="00605D33"/>
    <w:rsid w:val="006909D2"/>
    <w:rsid w:val="006B362D"/>
    <w:rsid w:val="007C74BD"/>
    <w:rsid w:val="007F7D90"/>
    <w:rsid w:val="0084766C"/>
    <w:rsid w:val="008A3363"/>
    <w:rsid w:val="008B3F51"/>
    <w:rsid w:val="008B7000"/>
    <w:rsid w:val="0096069B"/>
    <w:rsid w:val="00970EB1"/>
    <w:rsid w:val="00975D92"/>
    <w:rsid w:val="00AE5FC0"/>
    <w:rsid w:val="00B2405F"/>
    <w:rsid w:val="00B80DD2"/>
    <w:rsid w:val="00B9582A"/>
    <w:rsid w:val="00CA6B8E"/>
    <w:rsid w:val="00D0144F"/>
    <w:rsid w:val="00D83B17"/>
    <w:rsid w:val="00DD00F2"/>
    <w:rsid w:val="00E14D0D"/>
    <w:rsid w:val="00E36E3A"/>
    <w:rsid w:val="00F62D2E"/>
    <w:rsid w:val="00FC4262"/>
    <w:rsid w:val="00FD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83CD-BC78-47B9-8712-7883B61D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Uzivatel</cp:lastModifiedBy>
  <cp:revision>12</cp:revision>
  <cp:lastPrinted>2012-02-01T07:51:00Z</cp:lastPrinted>
  <dcterms:created xsi:type="dcterms:W3CDTF">2012-01-31T18:04:00Z</dcterms:created>
  <dcterms:modified xsi:type="dcterms:W3CDTF">2014-02-02T10:11:00Z</dcterms:modified>
</cp:coreProperties>
</file>