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23" w:rsidRDefault="00A15F23" w:rsidP="00A15F23">
      <w:pPr>
        <w:pStyle w:val="Nadpis1"/>
        <w:numPr>
          <w:ilvl w:val="0"/>
          <w:numId w:val="0"/>
        </w:numPr>
        <w:ind w:left="432"/>
        <w:jc w:val="center"/>
        <w:rPr>
          <w:rFonts w:ascii="Times New Roman" w:hAnsi="Times New Roman"/>
          <w:sz w:val="52"/>
          <w:szCs w:val="52"/>
        </w:rPr>
      </w:pPr>
      <w:bookmarkStart w:id="0" w:name="_GoBack"/>
      <w:bookmarkEnd w:id="0"/>
    </w:p>
    <w:p w:rsidR="00A15F23" w:rsidRDefault="00A15F23" w:rsidP="00A15F23">
      <w:pPr>
        <w:pStyle w:val="Nadpis1"/>
        <w:numPr>
          <w:ilvl w:val="0"/>
          <w:numId w:val="0"/>
        </w:numPr>
        <w:ind w:left="432"/>
        <w:jc w:val="center"/>
        <w:rPr>
          <w:rFonts w:ascii="Times New Roman" w:hAnsi="Times New Roman"/>
          <w:sz w:val="52"/>
          <w:szCs w:val="52"/>
        </w:rPr>
      </w:pPr>
    </w:p>
    <w:p w:rsidR="00A15F23" w:rsidRDefault="00A15F23" w:rsidP="00A15F23">
      <w:pPr>
        <w:pStyle w:val="Nadpis1"/>
        <w:numPr>
          <w:ilvl w:val="0"/>
          <w:numId w:val="0"/>
        </w:numPr>
        <w:ind w:left="432"/>
        <w:jc w:val="center"/>
        <w:rPr>
          <w:rFonts w:ascii="Times New Roman" w:hAnsi="Times New Roman"/>
          <w:sz w:val="52"/>
          <w:szCs w:val="52"/>
        </w:rPr>
      </w:pPr>
    </w:p>
    <w:p w:rsidR="00152067" w:rsidRDefault="00152067" w:rsidP="00152067">
      <w:pPr>
        <w:rPr>
          <w:lang w:eastAsia="cs-CZ"/>
        </w:rPr>
      </w:pPr>
    </w:p>
    <w:p w:rsidR="00152067" w:rsidRDefault="00152067" w:rsidP="00152067">
      <w:pPr>
        <w:rPr>
          <w:lang w:eastAsia="cs-CZ"/>
        </w:rPr>
      </w:pPr>
    </w:p>
    <w:p w:rsidR="00152067" w:rsidRPr="00152067" w:rsidRDefault="00152067" w:rsidP="00152067">
      <w:pPr>
        <w:rPr>
          <w:lang w:eastAsia="cs-CZ"/>
        </w:rPr>
      </w:pPr>
    </w:p>
    <w:p w:rsidR="00A15F23" w:rsidRPr="00B408BC" w:rsidRDefault="00A15F23" w:rsidP="00A15F23">
      <w:pPr>
        <w:pStyle w:val="Nadpis1"/>
        <w:numPr>
          <w:ilvl w:val="0"/>
          <w:numId w:val="0"/>
        </w:numPr>
        <w:ind w:left="432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3</w:t>
      </w:r>
      <w:r w:rsidRPr="00B408BC">
        <w:rPr>
          <w:rFonts w:ascii="Times New Roman" w:hAnsi="Times New Roman"/>
          <w:sz w:val="52"/>
          <w:szCs w:val="52"/>
        </w:rPr>
        <w:t xml:space="preserve"> </w:t>
      </w:r>
      <w:r>
        <w:rPr>
          <w:rFonts w:ascii="Times New Roman" w:hAnsi="Times New Roman"/>
          <w:sz w:val="52"/>
          <w:szCs w:val="52"/>
        </w:rPr>
        <w:t>Implementace</w:t>
      </w:r>
    </w:p>
    <w:p w:rsidR="00A15F23" w:rsidRDefault="00A15F23" w:rsidP="00A15F23">
      <w:pPr>
        <w:rPr>
          <w:lang w:eastAsia="cs-CZ"/>
        </w:rPr>
      </w:pPr>
    </w:p>
    <w:p w:rsidR="00A15F23" w:rsidRPr="00363FB5" w:rsidRDefault="00A15F23" w:rsidP="00A15F23">
      <w:pPr>
        <w:rPr>
          <w:lang w:eastAsia="cs-CZ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Pr="00363FB5" w:rsidRDefault="00A15F23" w:rsidP="00A15F23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15F23" w:rsidRDefault="00A15F23" w:rsidP="00A15F23">
      <w:pPr>
        <w:pStyle w:val="Nadpis1"/>
        <w:numPr>
          <w:ilvl w:val="0"/>
          <w:numId w:val="0"/>
        </w:numPr>
        <w:tabs>
          <w:tab w:val="left" w:pos="426"/>
          <w:tab w:val="left" w:pos="709"/>
          <w:tab w:val="left" w:pos="1701"/>
        </w:tabs>
        <w:spacing w:line="240" w:lineRule="auto"/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152067" w:rsidRDefault="00152067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7" w:rsidRDefault="00152067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7" w:rsidRDefault="00152067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7" w:rsidRDefault="00152067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7" w:rsidRDefault="00152067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7" w:rsidRDefault="00152067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Obsah:</w:t>
      </w:r>
    </w:p>
    <w:p w:rsidR="00A15F23" w:rsidRDefault="00A15F23" w:rsidP="00A15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tabs>
          <w:tab w:val="left" w:pos="426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Úvod</w:t>
      </w:r>
      <w:r>
        <w:rPr>
          <w:rFonts w:ascii="Times New Roman" w:hAnsi="Times New Roman"/>
          <w:sz w:val="24"/>
          <w:szCs w:val="24"/>
        </w:rPr>
        <w:tab/>
      </w:r>
      <w:r w:rsidR="00144DAE">
        <w:rPr>
          <w:rFonts w:ascii="Times New Roman" w:hAnsi="Times New Roman"/>
          <w:sz w:val="24"/>
          <w:szCs w:val="24"/>
        </w:rPr>
        <w:t>3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ab/>
        <w:t>Implementace strategického plánu</w:t>
      </w:r>
      <w:r>
        <w:rPr>
          <w:rFonts w:ascii="Times New Roman" w:hAnsi="Times New Roman"/>
          <w:sz w:val="24"/>
          <w:szCs w:val="24"/>
        </w:rPr>
        <w:tab/>
      </w:r>
      <w:r w:rsidR="00144DAE">
        <w:rPr>
          <w:rFonts w:ascii="Times New Roman" w:hAnsi="Times New Roman"/>
          <w:sz w:val="24"/>
          <w:szCs w:val="24"/>
        </w:rPr>
        <w:t>4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3.1</w:t>
      </w:r>
      <w:r>
        <w:rPr>
          <w:rFonts w:ascii="Times New Roman" w:hAnsi="Times New Roman"/>
          <w:sz w:val="24"/>
          <w:szCs w:val="24"/>
        </w:rPr>
        <w:tab/>
        <w:t>Organizační nastavení a systém řízení</w:t>
      </w:r>
      <w:r>
        <w:rPr>
          <w:rFonts w:ascii="Times New Roman" w:hAnsi="Times New Roman"/>
          <w:sz w:val="24"/>
          <w:szCs w:val="24"/>
        </w:rPr>
        <w:tab/>
      </w:r>
      <w:r w:rsidR="00144DAE">
        <w:rPr>
          <w:rFonts w:ascii="Times New Roman" w:hAnsi="Times New Roman"/>
          <w:sz w:val="24"/>
          <w:szCs w:val="24"/>
        </w:rPr>
        <w:t>4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3.2</w:t>
      </w:r>
      <w:r>
        <w:rPr>
          <w:rFonts w:ascii="Times New Roman" w:hAnsi="Times New Roman"/>
          <w:sz w:val="24"/>
          <w:szCs w:val="24"/>
        </w:rPr>
        <w:tab/>
        <w:t>Roční akční plán</w:t>
      </w:r>
      <w:r>
        <w:rPr>
          <w:rFonts w:ascii="Times New Roman" w:hAnsi="Times New Roman"/>
          <w:sz w:val="24"/>
          <w:szCs w:val="24"/>
        </w:rPr>
        <w:tab/>
      </w:r>
      <w:r w:rsidR="00144DAE">
        <w:rPr>
          <w:rFonts w:ascii="Times New Roman" w:hAnsi="Times New Roman"/>
          <w:sz w:val="24"/>
          <w:szCs w:val="24"/>
        </w:rPr>
        <w:t>4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</w:t>
      </w:r>
      <w:r>
        <w:rPr>
          <w:rFonts w:ascii="Times New Roman" w:hAnsi="Times New Roman"/>
          <w:sz w:val="24"/>
          <w:szCs w:val="24"/>
        </w:rPr>
        <w:tab/>
        <w:t>Vyhodnocení naplňování Koncepce rozvoje školství</w:t>
      </w:r>
      <w:r>
        <w:rPr>
          <w:rFonts w:ascii="Times New Roman" w:hAnsi="Times New Roman"/>
          <w:sz w:val="24"/>
          <w:szCs w:val="24"/>
        </w:rPr>
        <w:tab/>
      </w:r>
      <w:r w:rsidR="00144DAE">
        <w:rPr>
          <w:rFonts w:ascii="Times New Roman" w:hAnsi="Times New Roman"/>
          <w:sz w:val="24"/>
          <w:szCs w:val="24"/>
        </w:rPr>
        <w:t>5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3.4</w:t>
      </w:r>
      <w:r>
        <w:rPr>
          <w:rFonts w:ascii="Times New Roman" w:hAnsi="Times New Roman"/>
          <w:sz w:val="24"/>
          <w:szCs w:val="24"/>
        </w:rPr>
        <w:tab/>
        <w:t>Struktura akčních plánů</w:t>
      </w:r>
      <w:r>
        <w:rPr>
          <w:rFonts w:ascii="Times New Roman" w:hAnsi="Times New Roman"/>
          <w:sz w:val="24"/>
          <w:szCs w:val="24"/>
        </w:rPr>
        <w:tab/>
      </w:r>
      <w:r w:rsidR="00144DAE">
        <w:rPr>
          <w:rFonts w:ascii="Times New Roman" w:hAnsi="Times New Roman"/>
          <w:sz w:val="24"/>
          <w:szCs w:val="24"/>
        </w:rPr>
        <w:t>5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3.5</w:t>
      </w:r>
      <w:r>
        <w:rPr>
          <w:rFonts w:ascii="Times New Roman" w:hAnsi="Times New Roman"/>
          <w:sz w:val="24"/>
          <w:szCs w:val="24"/>
        </w:rPr>
        <w:tab/>
        <w:t>Řízení změn, evaluace</w:t>
      </w:r>
      <w:r>
        <w:rPr>
          <w:rFonts w:ascii="Times New Roman" w:hAnsi="Times New Roman"/>
          <w:sz w:val="24"/>
          <w:szCs w:val="24"/>
        </w:rPr>
        <w:tab/>
      </w:r>
      <w:r w:rsidR="00144DAE">
        <w:rPr>
          <w:rFonts w:ascii="Times New Roman" w:hAnsi="Times New Roman"/>
          <w:sz w:val="24"/>
          <w:szCs w:val="24"/>
        </w:rPr>
        <w:t>6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3.6</w:t>
      </w:r>
      <w:r>
        <w:rPr>
          <w:rFonts w:ascii="Times New Roman" w:hAnsi="Times New Roman"/>
          <w:sz w:val="24"/>
          <w:szCs w:val="24"/>
        </w:rPr>
        <w:tab/>
        <w:t>Monitorovací indikátory</w:t>
      </w:r>
      <w:r>
        <w:rPr>
          <w:rFonts w:ascii="Times New Roman" w:hAnsi="Times New Roman"/>
          <w:sz w:val="24"/>
          <w:szCs w:val="24"/>
        </w:rPr>
        <w:tab/>
      </w:r>
      <w:r w:rsidR="00C41224">
        <w:rPr>
          <w:rFonts w:ascii="Times New Roman" w:hAnsi="Times New Roman"/>
          <w:sz w:val="24"/>
          <w:szCs w:val="24"/>
        </w:rPr>
        <w:t>7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3.7</w:t>
      </w:r>
      <w:r>
        <w:rPr>
          <w:rFonts w:ascii="Times New Roman" w:hAnsi="Times New Roman"/>
          <w:sz w:val="24"/>
          <w:szCs w:val="24"/>
        </w:rPr>
        <w:tab/>
        <w:t>Plán řízení rizik</w:t>
      </w:r>
      <w:r>
        <w:rPr>
          <w:rFonts w:ascii="Times New Roman" w:hAnsi="Times New Roman"/>
          <w:sz w:val="24"/>
          <w:szCs w:val="24"/>
        </w:rPr>
        <w:tab/>
      </w:r>
      <w:r w:rsidR="00C41224">
        <w:rPr>
          <w:rFonts w:ascii="Times New Roman" w:hAnsi="Times New Roman"/>
          <w:sz w:val="24"/>
          <w:szCs w:val="24"/>
        </w:rPr>
        <w:t>11</w:t>
      </w:r>
    </w:p>
    <w:p w:rsidR="00A15F23" w:rsidRDefault="00A15F23" w:rsidP="00A15F23">
      <w:pPr>
        <w:tabs>
          <w:tab w:val="left" w:pos="426"/>
          <w:tab w:val="left" w:pos="1134"/>
          <w:tab w:val="righ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pStyle w:val="Nadpis1"/>
        <w:numPr>
          <w:ilvl w:val="0"/>
          <w:numId w:val="0"/>
        </w:numPr>
        <w:spacing w:line="240" w:lineRule="auto"/>
        <w:ind w:left="709"/>
      </w:pPr>
    </w:p>
    <w:p w:rsidR="00A15F23" w:rsidRDefault="00A15F23" w:rsidP="00A15F23">
      <w:pPr>
        <w:rPr>
          <w:lang w:eastAsia="cs-CZ"/>
        </w:rPr>
      </w:pPr>
    </w:p>
    <w:p w:rsidR="00A15F23" w:rsidRPr="00BD731F" w:rsidRDefault="00A15F23" w:rsidP="00A15F23">
      <w:pPr>
        <w:pStyle w:val="Nadpis2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BD731F">
        <w:rPr>
          <w:rFonts w:ascii="Times New Roman" w:hAnsi="Times New Roman"/>
          <w:b w:val="0"/>
          <w:color w:val="auto"/>
          <w:sz w:val="28"/>
          <w:szCs w:val="28"/>
        </w:rPr>
        <w:lastRenderedPageBreak/>
        <w:t>Úvod</w:t>
      </w:r>
    </w:p>
    <w:p w:rsidR="00A15F23" w:rsidRPr="006E6B1D" w:rsidRDefault="00A15F23" w:rsidP="00A15F23">
      <w:pPr>
        <w:spacing w:after="0" w:line="240" w:lineRule="auto"/>
        <w:rPr>
          <w:lang w:eastAsia="cs-CZ"/>
        </w:rPr>
      </w:pPr>
    </w:p>
    <w:p w:rsidR="00B668DF" w:rsidRPr="00B668DF" w:rsidRDefault="00294CDC" w:rsidP="00B66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8DF">
        <w:rPr>
          <w:rFonts w:ascii="Times New Roman" w:hAnsi="Times New Roman" w:cs="Times New Roman"/>
          <w:sz w:val="24"/>
          <w:szCs w:val="24"/>
        </w:rPr>
        <w:t xml:space="preserve">Implementace strategického dokumentu je proces, který převádí strategické cíle do konkrétních, měřitelných opatření a aktivit. Klíčovými kroky </w:t>
      </w:r>
      <w:r w:rsidR="00305BC0">
        <w:rPr>
          <w:rFonts w:ascii="Times New Roman" w:hAnsi="Times New Roman" w:cs="Times New Roman"/>
          <w:sz w:val="24"/>
          <w:szCs w:val="24"/>
        </w:rPr>
        <w:t xml:space="preserve">k </w:t>
      </w:r>
      <w:r w:rsidRPr="00B668DF">
        <w:rPr>
          <w:rFonts w:ascii="Times New Roman" w:hAnsi="Times New Roman" w:cs="Times New Roman"/>
          <w:sz w:val="24"/>
          <w:szCs w:val="24"/>
        </w:rPr>
        <w:t xml:space="preserve">vytvoření implementačního plánu </w:t>
      </w:r>
      <w:r w:rsidR="001B62CB">
        <w:rPr>
          <w:rFonts w:ascii="Times New Roman" w:hAnsi="Times New Roman" w:cs="Times New Roman"/>
          <w:sz w:val="24"/>
          <w:szCs w:val="24"/>
        </w:rPr>
        <w:t>je rozpracování aktivit na konkrétní úkoly, stanovení</w:t>
      </w:r>
      <w:r w:rsidRPr="00B668DF">
        <w:rPr>
          <w:rFonts w:ascii="Times New Roman" w:hAnsi="Times New Roman" w:cs="Times New Roman"/>
          <w:sz w:val="24"/>
          <w:szCs w:val="24"/>
        </w:rPr>
        <w:t xml:space="preserve"> odpovědnosti a časov</w:t>
      </w:r>
      <w:r w:rsidR="001B62CB">
        <w:rPr>
          <w:rFonts w:ascii="Times New Roman" w:hAnsi="Times New Roman" w:cs="Times New Roman"/>
          <w:sz w:val="24"/>
          <w:szCs w:val="24"/>
        </w:rPr>
        <w:t>ého</w:t>
      </w:r>
      <w:r w:rsidRPr="00B668DF">
        <w:rPr>
          <w:rFonts w:ascii="Times New Roman" w:hAnsi="Times New Roman" w:cs="Times New Roman"/>
          <w:sz w:val="24"/>
          <w:szCs w:val="24"/>
        </w:rPr>
        <w:t xml:space="preserve"> harmonogram</w:t>
      </w:r>
      <w:r w:rsidR="001B62CB">
        <w:rPr>
          <w:rFonts w:ascii="Times New Roman" w:hAnsi="Times New Roman" w:cs="Times New Roman"/>
          <w:sz w:val="24"/>
          <w:szCs w:val="24"/>
        </w:rPr>
        <w:t>u</w:t>
      </w:r>
      <w:r w:rsidRPr="00B668DF">
        <w:rPr>
          <w:rFonts w:ascii="Times New Roman" w:hAnsi="Times New Roman" w:cs="Times New Roman"/>
          <w:sz w:val="24"/>
          <w:szCs w:val="24"/>
        </w:rPr>
        <w:t>, a následně průběžné monitorování a hodnocení postupu</w:t>
      </w:r>
      <w:r w:rsidR="001B62CB">
        <w:rPr>
          <w:rFonts w:ascii="Times New Roman" w:hAnsi="Times New Roman" w:cs="Times New Roman"/>
          <w:sz w:val="24"/>
          <w:szCs w:val="24"/>
        </w:rPr>
        <w:t xml:space="preserve"> implementace</w:t>
      </w:r>
      <w:r w:rsidRPr="00B668DF">
        <w:rPr>
          <w:rFonts w:ascii="Times New Roman" w:hAnsi="Times New Roman" w:cs="Times New Roman"/>
          <w:sz w:val="24"/>
          <w:szCs w:val="24"/>
        </w:rPr>
        <w:t>.</w:t>
      </w:r>
      <w:r w:rsidR="00B668DF" w:rsidRPr="00B668DF">
        <w:rPr>
          <w:rFonts w:ascii="Times New Roman" w:hAnsi="Times New Roman" w:cs="Times New Roman"/>
          <w:sz w:val="24"/>
          <w:szCs w:val="24"/>
        </w:rPr>
        <w:t xml:space="preserve"> Pravidla a principy </w:t>
      </w:r>
      <w:r w:rsidR="00B668DF" w:rsidRPr="00B668DF">
        <w:rPr>
          <w:rFonts w:ascii="Times New Roman" w:hAnsi="Times New Roman" w:cs="Times New Roman"/>
          <w:b/>
          <w:sz w:val="24"/>
          <w:szCs w:val="24"/>
        </w:rPr>
        <w:t xml:space="preserve">implementace schvaluje </w:t>
      </w:r>
      <w:r w:rsidR="00A456B1">
        <w:rPr>
          <w:rFonts w:ascii="Times New Roman" w:hAnsi="Times New Roman" w:cs="Times New Roman"/>
          <w:b/>
          <w:sz w:val="24"/>
          <w:szCs w:val="24"/>
        </w:rPr>
        <w:t>Rada</w:t>
      </w:r>
      <w:r w:rsidR="00B668DF" w:rsidRPr="00B668DF">
        <w:rPr>
          <w:rFonts w:ascii="Times New Roman" w:hAnsi="Times New Roman" w:cs="Times New Roman"/>
          <w:b/>
          <w:sz w:val="24"/>
          <w:szCs w:val="24"/>
        </w:rPr>
        <w:t xml:space="preserve"> města Olomouce. </w:t>
      </w:r>
    </w:p>
    <w:p w:rsidR="00294CDC" w:rsidRPr="00294CDC" w:rsidRDefault="00294CDC" w:rsidP="00A15F2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37AE">
        <w:rPr>
          <w:rFonts w:ascii="Times New Roman" w:hAnsi="Times New Roman"/>
          <w:sz w:val="24"/>
          <w:szCs w:val="24"/>
          <w:lang w:eastAsia="cs-CZ"/>
        </w:rPr>
        <w:t>Implementační část Koncepce rozvoje školství statutárního města Olomouce na období 202</w:t>
      </w:r>
      <w:r w:rsidR="00565344">
        <w:rPr>
          <w:rFonts w:ascii="Times New Roman" w:hAnsi="Times New Roman"/>
          <w:sz w:val="24"/>
          <w:szCs w:val="24"/>
          <w:lang w:eastAsia="cs-CZ"/>
        </w:rPr>
        <w:t>6</w:t>
      </w:r>
      <w:r w:rsidRPr="002437AE">
        <w:rPr>
          <w:rFonts w:ascii="Times New Roman" w:hAnsi="Times New Roman"/>
          <w:sz w:val="24"/>
          <w:szCs w:val="24"/>
          <w:lang w:eastAsia="cs-CZ"/>
        </w:rPr>
        <w:t xml:space="preserve"> – 20</w:t>
      </w:r>
      <w:r w:rsidR="00565344">
        <w:rPr>
          <w:rFonts w:ascii="Times New Roman" w:hAnsi="Times New Roman"/>
          <w:sz w:val="24"/>
          <w:szCs w:val="24"/>
          <w:lang w:eastAsia="cs-CZ"/>
        </w:rPr>
        <w:t>30</w:t>
      </w:r>
      <w:r w:rsidRPr="002437AE">
        <w:rPr>
          <w:rFonts w:ascii="Times New Roman" w:hAnsi="Times New Roman"/>
          <w:sz w:val="24"/>
          <w:szCs w:val="24"/>
          <w:lang w:eastAsia="cs-CZ"/>
        </w:rPr>
        <w:t xml:space="preserve"> nastavuje základní principy a procesy při naplňování</w:t>
      </w:r>
      <w:r>
        <w:rPr>
          <w:rFonts w:ascii="Times New Roman" w:hAnsi="Times New Roman"/>
          <w:sz w:val="24"/>
          <w:szCs w:val="24"/>
          <w:lang w:eastAsia="cs-CZ"/>
        </w:rPr>
        <w:t xml:space="preserve"> priorit rozvoje školství.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1F2">
        <w:rPr>
          <w:rFonts w:ascii="Times New Roman" w:hAnsi="Times New Roman"/>
          <w:sz w:val="24"/>
          <w:szCs w:val="24"/>
        </w:rPr>
        <w:t>Pro úspěšné naplnění Koncepce rozvoje školství statutárního města Olomouce je stěžejní odborné nastavení implementačních pravidel a ukotvení procesu strategického řízení.</w:t>
      </w:r>
    </w:p>
    <w:p w:rsidR="00A15F23" w:rsidRPr="008C29A1" w:rsidRDefault="00A15F23" w:rsidP="00A15F23">
      <w:pPr>
        <w:pStyle w:val="Default"/>
        <w:rPr>
          <w:rFonts w:ascii="Times New Roman" w:hAnsi="Times New Roman" w:cs="Times New Roman"/>
        </w:rPr>
      </w:pPr>
      <w:r w:rsidRPr="008C29A1">
        <w:rPr>
          <w:rFonts w:ascii="Times New Roman" w:hAnsi="Times New Roman" w:cs="Times New Roman"/>
        </w:rPr>
        <w:t xml:space="preserve">Implementační pravidla se týkají: </w:t>
      </w:r>
    </w:p>
    <w:p w:rsidR="00A15F23" w:rsidRPr="00B00C38" w:rsidRDefault="00A15F23" w:rsidP="00A15F23">
      <w:pPr>
        <w:autoSpaceDE w:val="0"/>
        <w:autoSpaceDN w:val="0"/>
        <w:adjustRightInd w:val="0"/>
        <w:spacing w:after="4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00C3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B00C3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schvalování změn strategického plánu, </w:t>
      </w:r>
    </w:p>
    <w:p w:rsidR="00A15F23" w:rsidRPr="00B00C38" w:rsidRDefault="00A15F23" w:rsidP="00A15F23">
      <w:pPr>
        <w:autoSpaceDE w:val="0"/>
        <w:autoSpaceDN w:val="0"/>
        <w:adjustRightInd w:val="0"/>
        <w:spacing w:after="4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00C3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B00C3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tvorby a vyhodnocování akčních plánů, </w:t>
      </w:r>
    </w:p>
    <w:p w:rsidR="00A15F23" w:rsidRDefault="00A15F23" w:rsidP="00A15F2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00C3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B00C3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nastavení metodiky a vyhodnocování indikátorů. </w:t>
      </w:r>
    </w:p>
    <w:p w:rsidR="00A15F23" w:rsidRDefault="00A15F23" w:rsidP="001B6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CEF">
        <w:rPr>
          <w:rFonts w:ascii="Times New Roman" w:hAnsi="Times New Roman"/>
          <w:sz w:val="24"/>
          <w:szCs w:val="24"/>
        </w:rPr>
        <w:t>Dokument vychází z doporučení navržených v rámci Metodiky přípravy veřejných strategií z roku 2012</w:t>
      </w:r>
      <w:r w:rsidR="001B62CB">
        <w:rPr>
          <w:rFonts w:ascii="Times New Roman" w:hAnsi="Times New Roman"/>
          <w:sz w:val="24"/>
          <w:szCs w:val="24"/>
        </w:rPr>
        <w:t xml:space="preserve"> a z Vnitřního předpisu pro tvorbu tematických koncepčních dokumentů statutárního města Olomouce</w:t>
      </w:r>
      <w:r w:rsidRPr="003A6CEF">
        <w:rPr>
          <w:rFonts w:ascii="Times New Roman" w:hAnsi="Times New Roman"/>
          <w:sz w:val="24"/>
          <w:szCs w:val="24"/>
        </w:rPr>
        <w:t>.</w:t>
      </w:r>
    </w:p>
    <w:p w:rsidR="00A15F23" w:rsidRDefault="00A15F23" w:rsidP="00A15F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35890">
        <w:rPr>
          <w:rFonts w:ascii="Times New Roman" w:hAnsi="Times New Roman"/>
          <w:sz w:val="24"/>
          <w:szCs w:val="24"/>
        </w:rPr>
        <w:t xml:space="preserve">ýhodou kvalitního strategického řízení a správné implementace je </w:t>
      </w:r>
      <w:r>
        <w:rPr>
          <w:rFonts w:ascii="Times New Roman" w:hAnsi="Times New Roman"/>
          <w:sz w:val="24"/>
          <w:szCs w:val="24"/>
        </w:rPr>
        <w:t>zajištění plnění cílů a dosažení vize, které si odbor školství do roku 20</w:t>
      </w:r>
      <w:r w:rsidR="001B62C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vytkl. </w:t>
      </w:r>
    </w:p>
    <w:p w:rsidR="00A15F23" w:rsidRPr="00835890" w:rsidRDefault="00A15F23" w:rsidP="00A1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Předpokládáme</w:t>
      </w:r>
      <w:r w:rsidRPr="00835890">
        <w:rPr>
          <w:rFonts w:ascii="Times New Roman" w:hAnsi="Times New Roman"/>
          <w:sz w:val="24"/>
          <w:szCs w:val="24"/>
        </w:rPr>
        <w:t>, že některé části implementace se budou v následujících letech měnit tak, aby odpovídaly</w:t>
      </w:r>
      <w:r>
        <w:rPr>
          <w:rFonts w:ascii="Times New Roman" w:hAnsi="Times New Roman"/>
          <w:sz w:val="24"/>
          <w:szCs w:val="24"/>
        </w:rPr>
        <w:t xml:space="preserve"> změnám legislativy,</w:t>
      </w:r>
      <w:r w:rsidRPr="00835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rozvoji školství a možnostem statutárního města Olomouce.</w:t>
      </w: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A15F23" w:rsidRDefault="00A15F23" w:rsidP="00A15F23">
      <w:pPr>
        <w:rPr>
          <w:lang w:eastAsia="cs-CZ"/>
        </w:rPr>
      </w:pPr>
    </w:p>
    <w:p w:rsidR="00BB0BC2" w:rsidRDefault="00BB0BC2" w:rsidP="00A15F23">
      <w:pPr>
        <w:rPr>
          <w:lang w:eastAsia="cs-CZ"/>
        </w:rPr>
      </w:pPr>
    </w:p>
    <w:p w:rsidR="00A15F23" w:rsidRPr="002F4150" w:rsidRDefault="00A15F23" w:rsidP="00A15F23">
      <w:pPr>
        <w:pStyle w:val="Nadpis1"/>
        <w:numPr>
          <w:ilvl w:val="0"/>
          <w:numId w:val="2"/>
        </w:numPr>
        <w:spacing w:before="0" w:line="240" w:lineRule="auto"/>
        <w:ind w:left="709" w:hanging="709"/>
      </w:pPr>
      <w:r w:rsidRPr="002F4150">
        <w:lastRenderedPageBreak/>
        <w:t>Implementace strategického plánu</w:t>
      </w:r>
    </w:p>
    <w:p w:rsidR="00A15F23" w:rsidRDefault="00A15F23" w:rsidP="00A15F23">
      <w:pPr>
        <w:spacing w:after="0" w:line="240" w:lineRule="auto"/>
        <w:rPr>
          <w:lang w:eastAsia="cs-CZ"/>
        </w:rPr>
      </w:pPr>
    </w:p>
    <w:p w:rsidR="00A15F23" w:rsidRDefault="00A15F23" w:rsidP="00A15F23">
      <w:pPr>
        <w:pStyle w:val="Odstavecseseznamem"/>
        <w:numPr>
          <w:ilvl w:val="1"/>
          <w:numId w:val="2"/>
        </w:numPr>
        <w:spacing w:after="0" w:line="240" w:lineRule="auto"/>
        <w:ind w:left="709" w:hanging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  <w:r w:rsidRPr="002F4150"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>Organizační nastavení a systém řízení</w:t>
      </w:r>
    </w:p>
    <w:p w:rsidR="00A15F23" w:rsidRPr="002F4150" w:rsidRDefault="00A15F23" w:rsidP="00A15F23">
      <w:pPr>
        <w:pStyle w:val="Odstavecseseznamem"/>
        <w:spacing w:after="0" w:line="240" w:lineRule="auto"/>
        <w:ind w:left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Klíčové rozhodující kompetence s přijetím Koncepce rozvoje školství na období 202</w:t>
      </w:r>
      <w:r w:rsidR="00B668DF">
        <w:rPr>
          <w:rFonts w:ascii="Times New Roman" w:hAnsi="Times New Roman"/>
          <w:sz w:val="24"/>
          <w:szCs w:val="24"/>
          <w:lang w:eastAsia="cs-CZ"/>
        </w:rPr>
        <w:t>6</w:t>
      </w:r>
      <w:r>
        <w:rPr>
          <w:rFonts w:ascii="Times New Roman" w:hAnsi="Times New Roman"/>
          <w:sz w:val="24"/>
          <w:szCs w:val="24"/>
          <w:lang w:eastAsia="cs-CZ"/>
        </w:rPr>
        <w:t xml:space="preserve"> – 20</w:t>
      </w:r>
      <w:r w:rsidR="00B668DF">
        <w:rPr>
          <w:rFonts w:ascii="Times New Roman" w:hAnsi="Times New Roman"/>
          <w:sz w:val="24"/>
          <w:szCs w:val="24"/>
          <w:lang w:eastAsia="cs-CZ"/>
        </w:rPr>
        <w:t>30</w:t>
      </w:r>
      <w:r>
        <w:rPr>
          <w:rFonts w:ascii="Times New Roman" w:hAnsi="Times New Roman"/>
          <w:sz w:val="24"/>
          <w:szCs w:val="24"/>
          <w:lang w:eastAsia="cs-CZ"/>
        </w:rPr>
        <w:t xml:space="preserve"> má </w:t>
      </w:r>
      <w:r w:rsidRPr="00055C4E">
        <w:rPr>
          <w:rFonts w:ascii="Times New Roman" w:hAnsi="Times New Roman"/>
          <w:b/>
          <w:sz w:val="24"/>
          <w:szCs w:val="24"/>
          <w:lang w:eastAsia="cs-CZ"/>
        </w:rPr>
        <w:t>Rada města Olomouce</w:t>
      </w:r>
      <w:r>
        <w:rPr>
          <w:rFonts w:ascii="Times New Roman" w:hAnsi="Times New Roman"/>
          <w:sz w:val="24"/>
          <w:szCs w:val="24"/>
          <w:lang w:eastAsia="cs-CZ"/>
        </w:rPr>
        <w:t>. Hlavní činností orgánů města v procesu implementace (Zastupitelstva města Olomouce a Rady města Olomouce) při naplňování cílů a indikátorů Koncepce rozvoje školství jsou:</w:t>
      </w:r>
    </w:p>
    <w:p w:rsidR="00A15F23" w:rsidRDefault="006B4382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každoroční </w:t>
      </w:r>
      <w:r w:rsidR="00A15F23" w:rsidRPr="00055C4E">
        <w:rPr>
          <w:rFonts w:ascii="Times New Roman" w:hAnsi="Times New Roman"/>
          <w:sz w:val="24"/>
          <w:szCs w:val="24"/>
          <w:lang w:eastAsia="cs-CZ"/>
        </w:rPr>
        <w:t>projednání Zprávy o naplňování Koncepce rozvoje školství statutárního města Olomouce na období 202</w:t>
      </w:r>
      <w:r w:rsidR="00B668DF">
        <w:rPr>
          <w:rFonts w:ascii="Times New Roman" w:hAnsi="Times New Roman"/>
          <w:sz w:val="24"/>
          <w:szCs w:val="24"/>
          <w:lang w:eastAsia="cs-CZ"/>
        </w:rPr>
        <w:t>6</w:t>
      </w:r>
      <w:r w:rsidR="00A15F23" w:rsidRPr="00055C4E">
        <w:rPr>
          <w:rFonts w:ascii="Times New Roman" w:hAnsi="Times New Roman"/>
          <w:sz w:val="24"/>
          <w:szCs w:val="24"/>
          <w:lang w:eastAsia="cs-CZ"/>
        </w:rPr>
        <w:t xml:space="preserve"> – 20</w:t>
      </w:r>
      <w:r w:rsidR="00B668DF">
        <w:rPr>
          <w:rFonts w:ascii="Times New Roman" w:hAnsi="Times New Roman"/>
          <w:sz w:val="24"/>
          <w:szCs w:val="24"/>
          <w:lang w:eastAsia="cs-CZ"/>
        </w:rPr>
        <w:t>30</w:t>
      </w:r>
      <w:r w:rsidR="00A15F23" w:rsidRPr="00055C4E">
        <w:rPr>
          <w:rFonts w:ascii="Times New Roman" w:hAnsi="Times New Roman"/>
          <w:sz w:val="24"/>
          <w:szCs w:val="24"/>
          <w:lang w:eastAsia="cs-CZ"/>
        </w:rPr>
        <w:t xml:space="preserve"> za předchozí rok – plnění indikát</w:t>
      </w:r>
      <w:r w:rsidR="00A15F23">
        <w:rPr>
          <w:rFonts w:ascii="Times New Roman" w:hAnsi="Times New Roman"/>
          <w:sz w:val="24"/>
          <w:szCs w:val="24"/>
          <w:lang w:eastAsia="cs-CZ"/>
        </w:rPr>
        <w:t>orů a akčního plánu,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schvalování akčního plánu – zařazení projektů do ročního akčního plánu.</w:t>
      </w:r>
    </w:p>
    <w:p w:rsidR="00A15F23" w:rsidRDefault="00A15F23" w:rsidP="00A15F23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07BAF">
        <w:rPr>
          <w:rFonts w:ascii="Times New Roman" w:hAnsi="Times New Roman"/>
          <w:b/>
          <w:sz w:val="24"/>
          <w:szCs w:val="24"/>
          <w:lang w:eastAsia="cs-CZ"/>
        </w:rPr>
        <w:t>Celý proces implementace bude řídit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055C4E">
        <w:rPr>
          <w:rFonts w:ascii="Times New Roman" w:hAnsi="Times New Roman"/>
          <w:b/>
          <w:sz w:val="24"/>
          <w:szCs w:val="24"/>
          <w:lang w:eastAsia="cs-CZ"/>
        </w:rPr>
        <w:t>odbor školství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. </w:t>
      </w:r>
      <w:r w:rsidRPr="00055C4E">
        <w:rPr>
          <w:rFonts w:ascii="Times New Roman" w:hAnsi="Times New Roman"/>
          <w:sz w:val="24"/>
          <w:szCs w:val="24"/>
          <w:lang w:eastAsia="cs-CZ"/>
        </w:rPr>
        <w:t>Jeho hlavní činností bude:</w:t>
      </w:r>
    </w:p>
    <w:p w:rsidR="00A15F23" w:rsidRPr="00FB21F2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předložení implementace Komisi pro výchovu a vzdělávání a využití volného času,</w:t>
      </w:r>
    </w:p>
    <w:p w:rsidR="00A15F23" w:rsidRPr="00055C4E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koordinace a </w:t>
      </w:r>
      <w:r w:rsidRPr="00055C4E">
        <w:rPr>
          <w:rFonts w:ascii="Times New Roman" w:hAnsi="Times New Roman"/>
          <w:sz w:val="24"/>
          <w:szCs w:val="24"/>
          <w:lang w:eastAsia="cs-CZ"/>
        </w:rPr>
        <w:t xml:space="preserve">zajištění komunikace mezi </w:t>
      </w:r>
      <w:r>
        <w:rPr>
          <w:rFonts w:ascii="Times New Roman" w:hAnsi="Times New Roman"/>
          <w:sz w:val="24"/>
          <w:szCs w:val="24"/>
          <w:lang w:eastAsia="cs-CZ"/>
        </w:rPr>
        <w:t xml:space="preserve">jednotlivými </w:t>
      </w:r>
      <w:r w:rsidRPr="00055C4E">
        <w:rPr>
          <w:rFonts w:ascii="Times New Roman" w:hAnsi="Times New Roman"/>
          <w:sz w:val="24"/>
          <w:szCs w:val="24"/>
          <w:lang w:eastAsia="cs-CZ"/>
        </w:rPr>
        <w:t>zapojenými subjekty,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55C4E">
        <w:rPr>
          <w:rFonts w:ascii="Times New Roman" w:hAnsi="Times New Roman"/>
          <w:sz w:val="24"/>
          <w:szCs w:val="24"/>
          <w:lang w:eastAsia="cs-CZ"/>
        </w:rPr>
        <w:t>zpracování ročního akčního plánu</w:t>
      </w:r>
      <w:r>
        <w:rPr>
          <w:rFonts w:ascii="Times New Roman" w:hAnsi="Times New Roman"/>
          <w:sz w:val="24"/>
          <w:szCs w:val="24"/>
          <w:lang w:eastAsia="cs-CZ"/>
        </w:rPr>
        <w:t xml:space="preserve"> a jeho předložení ke schválení Zastupitelstvu města Olomouce a Radě města Olomouce,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předložení Zprávy o naplňování Koncepce.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Pr="001C339A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Cíle Koncepce rozvoje školství na období 202</w:t>
      </w:r>
      <w:r w:rsidR="00B668DF">
        <w:rPr>
          <w:rFonts w:ascii="Times New Roman" w:hAnsi="Times New Roman"/>
          <w:sz w:val="24"/>
          <w:szCs w:val="24"/>
          <w:lang w:eastAsia="cs-CZ"/>
        </w:rPr>
        <w:t>6</w:t>
      </w:r>
      <w:r>
        <w:rPr>
          <w:rFonts w:ascii="Times New Roman" w:hAnsi="Times New Roman"/>
          <w:sz w:val="24"/>
          <w:szCs w:val="24"/>
          <w:lang w:eastAsia="cs-CZ"/>
        </w:rPr>
        <w:t xml:space="preserve"> – 20</w:t>
      </w:r>
      <w:r w:rsidR="00B668DF">
        <w:rPr>
          <w:rFonts w:ascii="Times New Roman" w:hAnsi="Times New Roman"/>
          <w:sz w:val="24"/>
          <w:szCs w:val="24"/>
          <w:lang w:eastAsia="cs-CZ"/>
        </w:rPr>
        <w:t>30</w:t>
      </w:r>
      <w:r>
        <w:rPr>
          <w:rFonts w:ascii="Times New Roman" w:hAnsi="Times New Roman"/>
          <w:sz w:val="24"/>
          <w:szCs w:val="24"/>
          <w:lang w:eastAsia="cs-CZ"/>
        </w:rPr>
        <w:t xml:space="preserve"> administruje odbor školství, který na administraci spolupracuje s jinými odbory MMOl, zejména s odborem inve</w:t>
      </w:r>
      <w:r w:rsidR="00B668DF">
        <w:rPr>
          <w:rFonts w:ascii="Times New Roman" w:hAnsi="Times New Roman"/>
          <w:sz w:val="24"/>
          <w:szCs w:val="24"/>
          <w:lang w:eastAsia="cs-CZ"/>
        </w:rPr>
        <w:t>stic a odborem dotačních titulů a s mateřskými a základními školami zřizovanými statutárním městem Olomouc.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Pr="002F4150" w:rsidRDefault="00A15F23" w:rsidP="00A15F23">
      <w:pPr>
        <w:pStyle w:val="Odstavecseseznamem"/>
        <w:numPr>
          <w:ilvl w:val="1"/>
          <w:numId w:val="2"/>
        </w:numPr>
        <w:spacing w:after="160" w:line="259" w:lineRule="auto"/>
        <w:ind w:left="709" w:hanging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  <w:r w:rsidRPr="002F4150"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>Roční akční plán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Koncepce rozvoje školství statutárního města Olomouce na období 202</w:t>
      </w:r>
      <w:r w:rsidR="00B668DF">
        <w:rPr>
          <w:rFonts w:ascii="Times New Roman" w:hAnsi="Times New Roman"/>
          <w:sz w:val="24"/>
          <w:szCs w:val="24"/>
          <w:lang w:eastAsia="cs-CZ"/>
        </w:rPr>
        <w:t>6</w:t>
      </w:r>
      <w:r>
        <w:rPr>
          <w:rFonts w:ascii="Times New Roman" w:hAnsi="Times New Roman"/>
          <w:sz w:val="24"/>
          <w:szCs w:val="24"/>
          <w:lang w:eastAsia="cs-CZ"/>
        </w:rPr>
        <w:t xml:space="preserve"> – 20</w:t>
      </w:r>
      <w:r w:rsidR="00B668DF">
        <w:rPr>
          <w:rFonts w:ascii="Times New Roman" w:hAnsi="Times New Roman"/>
          <w:sz w:val="24"/>
          <w:szCs w:val="24"/>
          <w:lang w:eastAsia="cs-CZ"/>
        </w:rPr>
        <w:t>30</w:t>
      </w:r>
      <w:r>
        <w:rPr>
          <w:rFonts w:ascii="Times New Roman" w:hAnsi="Times New Roman"/>
          <w:sz w:val="24"/>
          <w:szCs w:val="24"/>
          <w:lang w:eastAsia="cs-CZ"/>
        </w:rPr>
        <w:t xml:space="preserve"> bude naplňována prostřednictvím ročního akčního plánu. Akční plán bude každoročně navrhován odborem školství a schvalován </w:t>
      </w:r>
      <w:r w:rsidR="00A456B1">
        <w:rPr>
          <w:rFonts w:ascii="Times New Roman" w:hAnsi="Times New Roman"/>
          <w:sz w:val="24"/>
          <w:szCs w:val="24"/>
          <w:lang w:eastAsia="cs-CZ"/>
        </w:rPr>
        <w:t>Radou</w:t>
      </w:r>
      <w:r>
        <w:rPr>
          <w:rFonts w:ascii="Times New Roman" w:hAnsi="Times New Roman"/>
          <w:sz w:val="24"/>
          <w:szCs w:val="24"/>
          <w:lang w:eastAsia="cs-CZ"/>
        </w:rPr>
        <w:t xml:space="preserve"> města Olomouce. Realizované projekty akčního plánu budou naplňovat jednotlivé cíle koncepce. Hodnocení naplňování cílů bude prováděno pomocí soustavy indikátorů. 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Jednotlivé kroky implementace probíhají celý rok. Nejdříve dochází k vyhodnocení strategické části dokumentu, vyhodnocení ročního akčního plánu a indikátorů. Vyhodnocení je schvalováno v orgánech města. Současně je v průběhu roku připravována tvorba ročního akčního plánu na následující rok – výběr projektů a aktivit, jehož finální podoba bude předložena současně nebo po schválení rozpočtu města. V případě požadavku na finanční krytí budou do ročního akčního plánu zařazeny pouze takové investiční projekty a jiné aktivity, které budou součásti rozpočtu města nebo rozpočtového výhledu. Z akčního plánu musí být akce, která nebude zařazena do rozpočtu města, vyřazena.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Pr="005D34C7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5D34C7">
        <w:rPr>
          <w:rFonts w:ascii="Times New Roman" w:hAnsi="Times New Roman"/>
          <w:sz w:val="24"/>
          <w:szCs w:val="24"/>
          <w:u w:val="single"/>
          <w:lang w:eastAsia="cs-CZ"/>
        </w:rPr>
        <w:t xml:space="preserve">Časový harmonogram implementace </w:t>
      </w:r>
    </w:p>
    <w:p w:rsidR="00B668DF" w:rsidRDefault="00B668DF" w:rsidP="00A15F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630"/>
        <w:gridCol w:w="4565"/>
      </w:tblGrid>
      <w:tr w:rsidR="00A15F23" w:rsidTr="005D34C7">
        <w:tc>
          <w:tcPr>
            <w:tcW w:w="20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DBDB" w:themeFill="accent2" w:themeFillTint="33"/>
          </w:tcPr>
          <w:p w:rsidR="00A15F23" w:rsidRPr="00932047" w:rsidRDefault="00A15F23" w:rsidP="00BB0BC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 w:rsidRPr="00932047"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Měsíc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DBDB" w:themeFill="accent2" w:themeFillTint="33"/>
          </w:tcPr>
          <w:p w:rsidR="00A15F23" w:rsidRDefault="00A15F23" w:rsidP="00BB0BC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Dílčí část implementace</w:t>
            </w:r>
          </w:p>
        </w:tc>
        <w:tc>
          <w:tcPr>
            <w:tcW w:w="45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DBDB" w:themeFill="accent2" w:themeFillTint="33"/>
          </w:tcPr>
          <w:p w:rsidR="00A15F23" w:rsidRDefault="00A15F23" w:rsidP="00BB0BC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cs-CZ"/>
              </w:rPr>
              <w:t>Aktivity v implementaci</w:t>
            </w:r>
          </w:p>
        </w:tc>
      </w:tr>
      <w:tr w:rsidR="00A15F23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A15F23" w:rsidRPr="00932047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Pr="00932047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koordinace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Pr="00932047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koordinace plnění akčního plánu a indikátorů, tvorba akčního plánu, komunikace mezi jednotlivými subjekty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A15F23" w:rsidRPr="00231D31" w:rsidRDefault="00B668DF" w:rsidP="00B668DF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únor, březen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Pr="00231D31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vyhodnocení plnění Koncepce rozvoje</w:t>
            </w:r>
            <w:r w:rsidR="006B438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školství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Pr="00231D31" w:rsidRDefault="00A15F23" w:rsidP="00B668DF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vyhodnocení plnění cílů a indikátorů, zpracování Zprávy o naplňování Koncepce rozvoje školství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A15F23" w:rsidRPr="00231D31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lastRenderedPageBreak/>
              <w:t>květen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Pr="00231D31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projednání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Pr="00231D31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projednání Zprávy o naplňování Koncepce rozvoje školství v Komisi pro výchovu a vzdělávání a využití volného času, se zainteresovanými odbory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červen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schvalování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Předložení Zprávy o naplňování k projednání a schválení v orgánech města – Rada města Olomouce, Zastupitelstva města Olomouce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srpen, září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projektové náměty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668DF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posouzení projektových námětů ze zásobníku projektů odboru školství a nově předložených, projednání s odborem investic a odborem dotačních projektů</w:t>
            </w:r>
            <w:r w:rsidR="00B668D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posouzení dalších aktivit 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A15F23" w:rsidRDefault="00B668DF" w:rsidP="005D34C7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srpen,</w:t>
            </w:r>
            <w:r w:rsidR="005D34C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A15F23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září, říjen (dle </w:t>
            </w:r>
            <w:r w:rsidR="005D34C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harmonogramu </w:t>
            </w:r>
            <w:r w:rsidR="00A15F23">
              <w:rPr>
                <w:rFonts w:ascii="Times New Roman" w:hAnsi="Times New Roman"/>
                <w:sz w:val="24"/>
                <w:szCs w:val="24"/>
                <w:lang w:eastAsia="cs-CZ"/>
              </w:rPr>
              <w:t>přípravy rozpočtu)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projednání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5D34C7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projednání aktivit jednotlivých opatření s vazbou na rozpočet odboru školství, </w:t>
            </w:r>
            <w:r w:rsidR="00B668DF">
              <w:rPr>
                <w:rFonts w:ascii="Times New Roman" w:hAnsi="Times New Roman"/>
                <w:sz w:val="24"/>
                <w:szCs w:val="24"/>
                <w:lang w:eastAsia="cs-CZ"/>
              </w:rPr>
              <w:t>p</w:t>
            </w:r>
            <w:r w:rsidR="00A15F23">
              <w:rPr>
                <w:rFonts w:ascii="Times New Roman" w:hAnsi="Times New Roman"/>
                <w:sz w:val="24"/>
                <w:szCs w:val="24"/>
                <w:lang w:eastAsia="cs-CZ"/>
              </w:rPr>
              <w:t>rojednání investičních námětů Investiční komisí, příprava plánu investic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tvorba akčního plánu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tvorba návrhu ročního akčního plánu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listopad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Roční akční plán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F23" w:rsidRDefault="00A15F23" w:rsidP="005D34C7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sladění aktivit ročního akčního plánu s plánem investic</w:t>
            </w:r>
            <w:r w:rsidR="005D34C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 rozpočtem odboru školství,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vyřazení nezařazených projektů do plánu investic</w:t>
            </w:r>
            <w:r w:rsidR="005D34C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 aktivit bez finančního krytí</w:t>
            </w:r>
          </w:p>
        </w:tc>
      </w:tr>
      <w:tr w:rsidR="00A15F23" w:rsidRPr="00231D31" w:rsidTr="005D34C7">
        <w:tc>
          <w:tcPr>
            <w:tcW w:w="20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prosinec</w:t>
            </w:r>
          </w:p>
        </w:tc>
        <w:tc>
          <w:tcPr>
            <w:tcW w:w="26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schvalování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5F23" w:rsidRDefault="00A15F23" w:rsidP="00BB0BC2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předložení ročního akčního plánu orgánům města ke schválení</w:t>
            </w:r>
          </w:p>
        </w:tc>
      </w:tr>
    </w:tbl>
    <w:p w:rsidR="00A15F23" w:rsidRDefault="00A15F23" w:rsidP="00A15F23">
      <w:pPr>
        <w:pStyle w:val="Odstavecseseznamem"/>
        <w:ind w:left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</w:p>
    <w:p w:rsidR="00A15F23" w:rsidRPr="002F4150" w:rsidRDefault="00A15F23" w:rsidP="00A15F23">
      <w:pPr>
        <w:pStyle w:val="Odstavecseseznamem"/>
        <w:numPr>
          <w:ilvl w:val="1"/>
          <w:numId w:val="2"/>
        </w:numPr>
        <w:spacing w:after="160" w:line="259" w:lineRule="auto"/>
        <w:ind w:left="709" w:hanging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  <w:r w:rsidRPr="002F4150"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>Vyhodnocení naplňování Koncepce rozvoje školství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začátku každého roku bude probíhat vyhodnocení Koncepce rozvoje školství na období 202</w:t>
      </w:r>
      <w:r w:rsidR="005D34C7">
        <w:rPr>
          <w:rFonts w:ascii="Times New Roman" w:hAnsi="Times New Roman"/>
          <w:sz w:val="24"/>
          <w:szCs w:val="24"/>
          <w:lang w:eastAsia="cs-CZ"/>
        </w:rPr>
        <w:t>6</w:t>
      </w:r>
      <w:r>
        <w:rPr>
          <w:rFonts w:ascii="Times New Roman" w:hAnsi="Times New Roman"/>
          <w:sz w:val="24"/>
          <w:szCs w:val="24"/>
          <w:lang w:eastAsia="cs-CZ"/>
        </w:rPr>
        <w:t xml:space="preserve"> – 20</w:t>
      </w:r>
      <w:r w:rsidR="005D34C7">
        <w:rPr>
          <w:rFonts w:ascii="Times New Roman" w:hAnsi="Times New Roman"/>
          <w:sz w:val="24"/>
          <w:szCs w:val="24"/>
          <w:lang w:eastAsia="cs-CZ"/>
        </w:rPr>
        <w:t>30</w:t>
      </w:r>
      <w:r>
        <w:rPr>
          <w:rFonts w:ascii="Times New Roman" w:hAnsi="Times New Roman"/>
          <w:sz w:val="24"/>
          <w:szCs w:val="24"/>
          <w:lang w:eastAsia="cs-CZ"/>
        </w:rPr>
        <w:t>, zejména vyhodnocení aktivit ročního akčního plánu, jehož prostřednictvím jsou jednotlivé cíle naplňovány.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Každoroční vyhodnocení bude členěno do jednotlivých strategických cílů</w:t>
      </w:r>
      <w:r w:rsidR="005D34C7">
        <w:rPr>
          <w:rFonts w:ascii="Times New Roman" w:hAnsi="Times New Roman"/>
          <w:sz w:val="24"/>
          <w:szCs w:val="24"/>
          <w:lang w:eastAsia="cs-CZ"/>
        </w:rPr>
        <w:t xml:space="preserve"> a opatření</w:t>
      </w:r>
      <w:r>
        <w:rPr>
          <w:rFonts w:ascii="Times New Roman" w:hAnsi="Times New Roman"/>
          <w:sz w:val="24"/>
          <w:szCs w:val="24"/>
          <w:lang w:eastAsia="cs-CZ"/>
        </w:rPr>
        <w:t>. Bude sledován a</w:t>
      </w:r>
      <w:r w:rsidR="005D34C7">
        <w:rPr>
          <w:rFonts w:ascii="Times New Roman" w:hAnsi="Times New Roman"/>
          <w:sz w:val="24"/>
          <w:szCs w:val="24"/>
          <w:lang w:eastAsia="cs-CZ"/>
        </w:rPr>
        <w:t xml:space="preserve"> vyhodnocen stav plnění aktivit</w:t>
      </w:r>
      <w:r>
        <w:rPr>
          <w:rFonts w:ascii="Times New Roman" w:hAnsi="Times New Roman"/>
          <w:sz w:val="24"/>
          <w:szCs w:val="24"/>
          <w:lang w:eastAsia="cs-CZ"/>
        </w:rPr>
        <w:t xml:space="preserve"> a indikátor</w:t>
      </w:r>
      <w:r w:rsidR="005D34C7">
        <w:rPr>
          <w:rFonts w:ascii="Times New Roman" w:hAnsi="Times New Roman"/>
          <w:sz w:val="24"/>
          <w:szCs w:val="24"/>
          <w:lang w:eastAsia="cs-CZ"/>
        </w:rPr>
        <w:t>ů</w:t>
      </w:r>
      <w:r>
        <w:rPr>
          <w:rFonts w:ascii="Times New Roman" w:hAnsi="Times New Roman"/>
          <w:sz w:val="24"/>
          <w:szCs w:val="24"/>
          <w:lang w:eastAsia="cs-CZ"/>
        </w:rPr>
        <w:t>, který bude do</w:t>
      </w:r>
      <w:r w:rsidR="005D34C7">
        <w:rPr>
          <w:rFonts w:ascii="Times New Roman" w:hAnsi="Times New Roman"/>
          <w:sz w:val="24"/>
          <w:szCs w:val="24"/>
          <w:lang w:eastAsia="cs-CZ"/>
        </w:rPr>
        <w:t>plněn slovním komentářem k</w:t>
      </w:r>
      <w:r>
        <w:rPr>
          <w:rFonts w:ascii="Times New Roman" w:hAnsi="Times New Roman"/>
          <w:sz w:val="24"/>
          <w:szCs w:val="24"/>
          <w:lang w:eastAsia="cs-CZ"/>
        </w:rPr>
        <w:t xml:space="preserve"> zjištěnému stavu, příp. </w:t>
      </w:r>
      <w:r w:rsidR="005D34C7">
        <w:rPr>
          <w:rFonts w:ascii="Times New Roman" w:hAnsi="Times New Roman"/>
          <w:sz w:val="24"/>
          <w:szCs w:val="24"/>
          <w:lang w:eastAsia="cs-CZ"/>
        </w:rPr>
        <w:t xml:space="preserve">budou doloženy </w:t>
      </w:r>
      <w:r>
        <w:rPr>
          <w:rFonts w:ascii="Times New Roman" w:hAnsi="Times New Roman"/>
          <w:sz w:val="24"/>
          <w:szCs w:val="24"/>
          <w:lang w:eastAsia="cs-CZ"/>
        </w:rPr>
        <w:t>návrhy na změny.</w:t>
      </w:r>
    </w:p>
    <w:p w:rsidR="00A15F23" w:rsidRPr="00A36350" w:rsidRDefault="00A15F23" w:rsidP="00A15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cs-CZ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F3B7C">
        <w:rPr>
          <w:rFonts w:ascii="Times New Roman" w:hAnsi="Times New Roman"/>
          <w:b/>
          <w:sz w:val="24"/>
          <w:szCs w:val="24"/>
          <w:lang w:eastAsia="cs-CZ"/>
        </w:rPr>
        <w:t xml:space="preserve">Struktura Zprávy o naplňování 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cílů </w:t>
      </w:r>
      <w:r w:rsidRPr="009F3B7C">
        <w:rPr>
          <w:rFonts w:ascii="Times New Roman" w:hAnsi="Times New Roman"/>
          <w:b/>
          <w:sz w:val="24"/>
          <w:szCs w:val="24"/>
          <w:lang w:eastAsia="cs-CZ"/>
        </w:rPr>
        <w:t>Koncepce rozvoje školství na období 202</w:t>
      </w:r>
      <w:r w:rsidR="005D34C7">
        <w:rPr>
          <w:rFonts w:ascii="Times New Roman" w:hAnsi="Times New Roman"/>
          <w:b/>
          <w:sz w:val="24"/>
          <w:szCs w:val="24"/>
          <w:lang w:eastAsia="cs-CZ"/>
        </w:rPr>
        <w:t>6</w:t>
      </w:r>
      <w:r w:rsidRPr="009F3B7C">
        <w:rPr>
          <w:rFonts w:ascii="Times New Roman" w:hAnsi="Times New Roman"/>
          <w:b/>
          <w:sz w:val="24"/>
          <w:szCs w:val="24"/>
          <w:lang w:eastAsia="cs-CZ"/>
        </w:rPr>
        <w:t xml:space="preserve"> – 20</w:t>
      </w:r>
      <w:r w:rsidR="005D34C7">
        <w:rPr>
          <w:rFonts w:ascii="Times New Roman" w:hAnsi="Times New Roman"/>
          <w:b/>
          <w:sz w:val="24"/>
          <w:szCs w:val="24"/>
          <w:lang w:eastAsia="cs-CZ"/>
        </w:rPr>
        <w:t>30</w:t>
      </w:r>
      <w:r>
        <w:rPr>
          <w:rFonts w:ascii="Times New Roman" w:hAnsi="Times New Roman"/>
          <w:sz w:val="24"/>
          <w:szCs w:val="24"/>
          <w:lang w:eastAsia="cs-CZ"/>
        </w:rPr>
        <w:t>: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A15F23" w:rsidP="00A15F2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Úvod. </w:t>
      </w:r>
    </w:p>
    <w:p w:rsidR="00A15F23" w:rsidRDefault="00A15F23" w:rsidP="00A15F2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Vyhodnocení cílů Koncepce rozvoje školství a ročního akčního plánu – slovní popis vyhodnocení, uvedení objemu finančních prostředků vynaložených na projekty a aktivity v daném roce dle akčního plánu, zpracování do tabulky</w:t>
      </w:r>
    </w:p>
    <w:p w:rsidR="00A15F23" w:rsidRDefault="00A15F23" w:rsidP="00A15F2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Vyhodnocení indikátorů – slovní popis o jejich plnění či neplnění, zdůvodnění, příp. návrh přijatých opatření.</w:t>
      </w:r>
    </w:p>
    <w:p w:rsidR="00A15F23" w:rsidRDefault="00A15F23" w:rsidP="00A15F2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Závěry vyplývající z hodnocení a doporučení pro tvorbu akčního plánu na následující rok.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Pr="002F4150" w:rsidRDefault="00A15F23" w:rsidP="00A15F23">
      <w:pPr>
        <w:pStyle w:val="Odstavecseseznamem"/>
        <w:numPr>
          <w:ilvl w:val="1"/>
          <w:numId w:val="2"/>
        </w:numPr>
        <w:spacing w:after="160" w:line="259" w:lineRule="auto"/>
        <w:ind w:left="709" w:hanging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  <w:r w:rsidRPr="002F4150"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>Struktura akčních plánů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Akční plán tvoří jak investiční akce s vazbou na investiční plán města (jednoleté i víceleté), tak také aktivity hrazené z běžných, provozních výdajů </w:t>
      </w:r>
      <w:r w:rsidR="00C82438">
        <w:rPr>
          <w:rFonts w:ascii="Times New Roman" w:hAnsi="Times New Roman"/>
          <w:sz w:val="24"/>
          <w:szCs w:val="24"/>
          <w:lang w:eastAsia="cs-CZ"/>
        </w:rPr>
        <w:t xml:space="preserve">škol </w:t>
      </w:r>
      <w:r>
        <w:rPr>
          <w:rFonts w:ascii="Times New Roman" w:hAnsi="Times New Roman"/>
          <w:sz w:val="24"/>
          <w:szCs w:val="24"/>
          <w:lang w:eastAsia="cs-CZ"/>
        </w:rPr>
        <w:t xml:space="preserve">(např. materiálové vybavení </w:t>
      </w:r>
      <w:r>
        <w:rPr>
          <w:rFonts w:ascii="Times New Roman" w:hAnsi="Times New Roman"/>
          <w:sz w:val="24"/>
          <w:szCs w:val="24"/>
          <w:lang w:eastAsia="cs-CZ"/>
        </w:rPr>
        <w:lastRenderedPageBreak/>
        <w:t>související s rozvojem vzdělávání</w:t>
      </w:r>
      <w:r w:rsidR="00FF41D0">
        <w:rPr>
          <w:rFonts w:ascii="Times New Roman" w:hAnsi="Times New Roman"/>
          <w:sz w:val="24"/>
          <w:szCs w:val="24"/>
          <w:lang w:eastAsia="cs-CZ"/>
        </w:rPr>
        <w:t>, semináře, workshopy</w:t>
      </w:r>
      <w:r>
        <w:rPr>
          <w:rFonts w:ascii="Times New Roman" w:hAnsi="Times New Roman"/>
          <w:sz w:val="24"/>
          <w:szCs w:val="24"/>
          <w:lang w:eastAsia="cs-CZ"/>
        </w:rPr>
        <w:t>).</w:t>
      </w:r>
      <w:r w:rsidR="00C82438">
        <w:rPr>
          <w:rFonts w:ascii="Times New Roman" w:hAnsi="Times New Roman"/>
          <w:sz w:val="24"/>
          <w:szCs w:val="24"/>
          <w:lang w:eastAsia="cs-CZ"/>
        </w:rPr>
        <w:t xml:space="preserve"> Finanční prostředky na provozní výdaje jsou školám poskytovány z rozpočtu města formou příspěvku na provoz.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Mezi ročním akčním plánem a rozpočtem města existuje silná vazba. V akčním plánu nesmí být uvedeny projekty a aktivity s nárokem na finanční krytí pokud nejsou schváleny v rozpočtu města na daný rok, včetně investičních akcí v plánu investic.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Akční plán obsahuje projekty v daném roce, jejichž prostřednictvím jsou naplňován</w:t>
      </w:r>
      <w:r w:rsidR="00C82438">
        <w:rPr>
          <w:rFonts w:ascii="Times New Roman" w:hAnsi="Times New Roman"/>
          <w:sz w:val="24"/>
          <w:szCs w:val="24"/>
          <w:lang w:eastAsia="cs-CZ"/>
        </w:rPr>
        <w:t>a jednotlivá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82438">
        <w:rPr>
          <w:rFonts w:ascii="Times New Roman" w:hAnsi="Times New Roman"/>
          <w:sz w:val="24"/>
          <w:szCs w:val="24"/>
          <w:lang w:eastAsia="cs-CZ"/>
        </w:rPr>
        <w:t>opatření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Do akčního plánu </w:t>
      </w:r>
      <w:r w:rsidRPr="00B923FF">
        <w:rPr>
          <w:rFonts w:ascii="Times New Roman" w:hAnsi="Times New Roman"/>
          <w:b/>
          <w:sz w:val="24"/>
          <w:szCs w:val="24"/>
          <w:lang w:eastAsia="cs-CZ"/>
        </w:rPr>
        <w:t>budou zahrnuty</w:t>
      </w:r>
      <w:r>
        <w:rPr>
          <w:rFonts w:ascii="Times New Roman" w:hAnsi="Times New Roman"/>
          <w:sz w:val="24"/>
          <w:szCs w:val="24"/>
          <w:lang w:eastAsia="cs-CZ"/>
        </w:rPr>
        <w:t xml:space="preserve"> investiční projekty, které jsou připraveny nebo připravovány na následující rok (jednoleté i víceleté) na základě usnesení orgánů města</w:t>
      </w:r>
      <w:r w:rsidR="00C82438">
        <w:rPr>
          <w:rFonts w:ascii="Times New Roman" w:hAnsi="Times New Roman"/>
          <w:sz w:val="24"/>
          <w:szCs w:val="24"/>
          <w:lang w:eastAsia="cs-CZ"/>
        </w:rPr>
        <w:t xml:space="preserve">, a </w:t>
      </w:r>
      <w:r>
        <w:rPr>
          <w:rFonts w:ascii="Times New Roman" w:hAnsi="Times New Roman"/>
          <w:sz w:val="24"/>
          <w:szCs w:val="24"/>
          <w:lang w:eastAsia="cs-CZ"/>
        </w:rPr>
        <w:t xml:space="preserve">rozvojové aktivity hrazené z běžných výdajů v rámci </w:t>
      </w:r>
      <w:r w:rsidR="00C82438">
        <w:rPr>
          <w:rFonts w:ascii="Times New Roman" w:hAnsi="Times New Roman"/>
          <w:sz w:val="24"/>
          <w:szCs w:val="24"/>
          <w:lang w:eastAsia="cs-CZ"/>
        </w:rPr>
        <w:t>příspěvku na provoz, poskytovaného příspěvkovým organizacím - škol</w:t>
      </w:r>
      <w:r>
        <w:rPr>
          <w:rFonts w:ascii="Times New Roman" w:hAnsi="Times New Roman"/>
          <w:sz w:val="24"/>
          <w:szCs w:val="24"/>
          <w:lang w:eastAsia="cs-CZ"/>
        </w:rPr>
        <w:t xml:space="preserve">. Do akčního plánu </w:t>
      </w:r>
      <w:r w:rsidRPr="00B923FF">
        <w:rPr>
          <w:rFonts w:ascii="Times New Roman" w:hAnsi="Times New Roman"/>
          <w:b/>
          <w:sz w:val="24"/>
          <w:szCs w:val="24"/>
          <w:lang w:eastAsia="cs-CZ"/>
        </w:rPr>
        <w:t>nebudou zahrnuty</w:t>
      </w:r>
      <w:r>
        <w:rPr>
          <w:rFonts w:ascii="Times New Roman" w:hAnsi="Times New Roman"/>
          <w:sz w:val="24"/>
          <w:szCs w:val="24"/>
          <w:lang w:eastAsia="cs-CZ"/>
        </w:rPr>
        <w:t xml:space="preserve"> aktivity, které jsou běžnou činností odboru školství a škol.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D2215">
        <w:rPr>
          <w:rFonts w:ascii="Times New Roman" w:hAnsi="Times New Roman"/>
          <w:b/>
          <w:sz w:val="24"/>
          <w:szCs w:val="24"/>
          <w:lang w:eastAsia="cs-CZ"/>
        </w:rPr>
        <w:t>Akční plán bude obsahovat následující údaje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o projektu/aktivitě</w:t>
      </w:r>
      <w:r>
        <w:rPr>
          <w:rFonts w:ascii="Times New Roman" w:hAnsi="Times New Roman"/>
          <w:sz w:val="24"/>
          <w:szCs w:val="24"/>
          <w:lang w:eastAsia="cs-CZ"/>
        </w:rPr>
        <w:t>:</w:t>
      </w:r>
    </w:p>
    <w:p w:rsidR="00A15F23" w:rsidRPr="00B923FF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923FF">
        <w:rPr>
          <w:rFonts w:ascii="Times New Roman" w:hAnsi="Times New Roman"/>
          <w:sz w:val="24"/>
          <w:szCs w:val="24"/>
          <w:lang w:eastAsia="cs-CZ"/>
        </w:rPr>
        <w:t xml:space="preserve">Číslo </w:t>
      </w:r>
      <w:r w:rsidR="00C82438">
        <w:rPr>
          <w:rFonts w:ascii="Times New Roman" w:hAnsi="Times New Roman"/>
          <w:sz w:val="24"/>
          <w:szCs w:val="24"/>
          <w:lang w:eastAsia="cs-CZ"/>
        </w:rPr>
        <w:t>opatření</w:t>
      </w:r>
      <w:r w:rsidRPr="00B923FF">
        <w:rPr>
          <w:rFonts w:ascii="Times New Roman" w:hAnsi="Times New Roman"/>
          <w:sz w:val="24"/>
          <w:szCs w:val="24"/>
          <w:lang w:eastAsia="cs-CZ"/>
        </w:rPr>
        <w:t>, kter</w:t>
      </w:r>
      <w:r w:rsidR="00C82438">
        <w:rPr>
          <w:rFonts w:ascii="Times New Roman" w:hAnsi="Times New Roman"/>
          <w:sz w:val="24"/>
          <w:szCs w:val="24"/>
          <w:lang w:eastAsia="cs-CZ"/>
        </w:rPr>
        <w:t>é</w:t>
      </w:r>
      <w:r w:rsidRPr="00B923FF">
        <w:rPr>
          <w:rFonts w:ascii="Times New Roman" w:hAnsi="Times New Roman"/>
          <w:sz w:val="24"/>
          <w:szCs w:val="24"/>
          <w:lang w:eastAsia="cs-CZ"/>
        </w:rPr>
        <w:t xml:space="preserve"> projekt naplňuje</w:t>
      </w:r>
      <w:r w:rsidR="00C82438"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Pr="00B923FF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923FF">
        <w:rPr>
          <w:rFonts w:ascii="Times New Roman" w:hAnsi="Times New Roman"/>
          <w:sz w:val="24"/>
          <w:szCs w:val="24"/>
          <w:lang w:eastAsia="cs-CZ"/>
        </w:rPr>
        <w:t>Název projektu/aktivity, příp. také identifikaci obsahu projektu/aktivity</w:t>
      </w:r>
      <w:r w:rsidR="00C82438"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923FF">
        <w:rPr>
          <w:rFonts w:ascii="Times New Roman" w:hAnsi="Times New Roman"/>
          <w:sz w:val="24"/>
          <w:szCs w:val="24"/>
          <w:lang w:eastAsia="cs-CZ"/>
        </w:rPr>
        <w:t>Předpokládané náklady projektu/aktivity celkem v tis. Kč</w:t>
      </w:r>
      <w:r w:rsidR="00C82438"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Náklady z rozpočtu SMOl v tis. Kč, u víceletých projektů také rozložení potřeby finančního krytí v</w:t>
      </w:r>
      <w:r w:rsidR="00C82438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letech</w:t>
      </w:r>
      <w:r w:rsidR="00C82438"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Externí zdroje v tis. Kč a </w:t>
      </w:r>
      <w:r w:rsidR="00C82438">
        <w:rPr>
          <w:rFonts w:ascii="Times New Roman" w:hAnsi="Times New Roman"/>
          <w:sz w:val="24"/>
          <w:szCs w:val="24"/>
          <w:lang w:eastAsia="cs-CZ"/>
        </w:rPr>
        <w:t>uvedení</w:t>
      </w:r>
      <w:r>
        <w:rPr>
          <w:rFonts w:ascii="Times New Roman" w:hAnsi="Times New Roman"/>
          <w:sz w:val="24"/>
          <w:szCs w:val="24"/>
          <w:lang w:eastAsia="cs-CZ"/>
        </w:rPr>
        <w:t xml:space="preserve"> dotačního titulu</w:t>
      </w:r>
      <w:r w:rsidR="00C82438"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Stupeň rozpracovanosti (DUR, DSP, DPS, vydáno stavební povolení, u víceletých projektů projekt v</w:t>
      </w:r>
      <w:r w:rsidR="00C82438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realizaci</w:t>
      </w:r>
      <w:r w:rsidR="00C82438">
        <w:rPr>
          <w:rFonts w:ascii="Times New Roman" w:hAnsi="Times New Roman"/>
          <w:sz w:val="24"/>
          <w:szCs w:val="24"/>
          <w:lang w:eastAsia="cs-CZ"/>
        </w:rPr>
        <w:t>).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Realizace projektu: časové vymezení od – do (měsíc, rok)</w:t>
      </w:r>
    </w:p>
    <w:p w:rsidR="00A15F23" w:rsidRDefault="00A15F23" w:rsidP="00A15F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Monitorovací indikátor, který bude realizací projektu/aktivity naplněný a předpokládaná dosažená hodnot</w:t>
      </w:r>
      <w:r w:rsidR="00C82438">
        <w:rPr>
          <w:rFonts w:ascii="Times New Roman" w:hAnsi="Times New Roman"/>
          <w:sz w:val="24"/>
          <w:szCs w:val="24"/>
          <w:lang w:eastAsia="cs-CZ"/>
        </w:rPr>
        <w:t>a.</w:t>
      </w:r>
    </w:p>
    <w:p w:rsidR="00C82438" w:rsidRDefault="00C82438" w:rsidP="00A15F23">
      <w:pPr>
        <w:spacing w:after="0"/>
        <w:jc w:val="both"/>
        <w:rPr>
          <w:lang w:eastAsia="cs-CZ"/>
        </w:rPr>
      </w:pPr>
    </w:p>
    <w:p w:rsidR="00A15F23" w:rsidRDefault="00A15F23" w:rsidP="00A15F23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 projektů/aktivity bude vždy posuzován stav a aktuální naléhavost. Do akčního plánu může být ale zařazen také projekt, jehož naléhavost vyplyne z </w:t>
      </w:r>
      <w:r w:rsidRPr="002E5992">
        <w:rPr>
          <w:rFonts w:ascii="Times New Roman" w:hAnsi="Times New Roman"/>
          <w:b/>
          <w:sz w:val="24"/>
          <w:szCs w:val="24"/>
          <w:lang w:eastAsia="cs-CZ"/>
        </w:rPr>
        <w:t>náhlého zhoršení stavu nebo na základě nařízení orgánu ochrany veřejného zdraví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E5992">
        <w:rPr>
          <w:rFonts w:ascii="Times New Roman" w:hAnsi="Times New Roman"/>
          <w:b/>
          <w:sz w:val="24"/>
          <w:szCs w:val="24"/>
          <w:lang w:eastAsia="cs-CZ"/>
        </w:rPr>
        <w:t xml:space="preserve">Zpracovaný návrh ročního akčního plánu schvalují orgány města – Rada města Olomouce a Zastupitelstvo města Olomouce. </w:t>
      </w:r>
      <w:r w:rsidRPr="00A3205C">
        <w:rPr>
          <w:rFonts w:ascii="Times New Roman" w:hAnsi="Times New Roman"/>
          <w:sz w:val="24"/>
          <w:szCs w:val="24"/>
          <w:lang w:eastAsia="cs-CZ"/>
        </w:rPr>
        <w:t>Na základě rozhodnutí orgánu města budou vybrány projekty, které budou zařazeny do akčního plánu. Ostatní, nezařazené, projekty zůstanou v zásobnících projektů k realizaci v dalším období.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A15F23" w:rsidRPr="00307BAF" w:rsidRDefault="00A15F23" w:rsidP="00A15F23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E5992">
        <w:rPr>
          <w:rFonts w:ascii="Times New Roman" w:hAnsi="Times New Roman"/>
          <w:b/>
          <w:sz w:val="24"/>
          <w:szCs w:val="24"/>
          <w:lang w:eastAsia="cs-CZ"/>
        </w:rPr>
        <w:t>Schválený akční plán musí být v souladu se schváleným rozpočtem statutárního města Olomouce na daný rok.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307BAF">
        <w:rPr>
          <w:rFonts w:ascii="Times New Roman" w:hAnsi="Times New Roman"/>
          <w:sz w:val="24"/>
          <w:szCs w:val="24"/>
          <w:lang w:eastAsia="cs-CZ"/>
        </w:rPr>
        <w:t xml:space="preserve">Projekty/aktivity zařazeny do akčního plánu musí </w:t>
      </w:r>
      <w:r>
        <w:rPr>
          <w:rFonts w:ascii="Times New Roman" w:hAnsi="Times New Roman"/>
          <w:sz w:val="24"/>
          <w:szCs w:val="24"/>
          <w:lang w:eastAsia="cs-CZ"/>
        </w:rPr>
        <w:t xml:space="preserve">mít jednoznačně určený zdroj financování – rozpočtem města nebo z externích zdrojů. </w:t>
      </w:r>
      <w:r w:rsidRPr="00307BAF">
        <w:rPr>
          <w:rFonts w:ascii="Times New Roman" w:hAnsi="Times New Roman"/>
          <w:sz w:val="24"/>
          <w:szCs w:val="24"/>
          <w:lang w:eastAsia="cs-CZ"/>
        </w:rPr>
        <w:t>Projekt/aktivita</w:t>
      </w:r>
      <w:r>
        <w:rPr>
          <w:rFonts w:ascii="Times New Roman" w:hAnsi="Times New Roman"/>
          <w:sz w:val="24"/>
          <w:szCs w:val="24"/>
          <w:lang w:eastAsia="cs-CZ"/>
        </w:rPr>
        <w:t xml:space="preserve"> nezařazena do rozpočtu města musí být vyřazena z akčního plánu.</w:t>
      </w:r>
    </w:p>
    <w:p w:rsidR="00A15F23" w:rsidRDefault="00A15F23" w:rsidP="00A15F23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A15F23" w:rsidP="00A15F23">
      <w:pPr>
        <w:pStyle w:val="Odstavecseseznamem"/>
        <w:numPr>
          <w:ilvl w:val="1"/>
          <w:numId w:val="2"/>
        </w:numPr>
        <w:spacing w:after="160" w:line="259" w:lineRule="auto"/>
        <w:ind w:left="709" w:hanging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  <w:r w:rsidRPr="002F4150"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>Řízení změn, evaluace</w:t>
      </w:r>
      <w:r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 xml:space="preserve"> 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205F8">
        <w:rPr>
          <w:rFonts w:ascii="Times New Roman" w:hAnsi="Times New Roman"/>
          <w:sz w:val="24"/>
          <w:szCs w:val="24"/>
          <w:lang w:eastAsia="cs-CZ"/>
        </w:rPr>
        <w:t>Faktory, podmínky, znalosti, okolnost</w:t>
      </w:r>
      <w:r>
        <w:rPr>
          <w:rFonts w:ascii="Times New Roman" w:hAnsi="Times New Roman"/>
          <w:sz w:val="24"/>
          <w:szCs w:val="24"/>
          <w:lang w:eastAsia="cs-CZ"/>
        </w:rPr>
        <w:t>í,</w:t>
      </w:r>
      <w:r w:rsidRPr="00B205F8">
        <w:rPr>
          <w:rFonts w:ascii="Times New Roman" w:hAnsi="Times New Roman"/>
          <w:sz w:val="24"/>
          <w:szCs w:val="24"/>
          <w:lang w:eastAsia="cs-CZ"/>
        </w:rPr>
        <w:t xml:space="preserve"> za kterých Koncepce rozvoje školství vznikala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B205F8">
        <w:rPr>
          <w:rFonts w:ascii="Times New Roman" w:hAnsi="Times New Roman"/>
          <w:sz w:val="24"/>
          <w:szCs w:val="24"/>
          <w:lang w:eastAsia="cs-CZ"/>
        </w:rPr>
        <w:t xml:space="preserve"> se </w:t>
      </w:r>
      <w:r>
        <w:rPr>
          <w:rFonts w:ascii="Times New Roman" w:hAnsi="Times New Roman"/>
          <w:sz w:val="24"/>
          <w:szCs w:val="24"/>
          <w:lang w:eastAsia="cs-CZ"/>
        </w:rPr>
        <w:t>mohou</w:t>
      </w:r>
      <w:r w:rsidRPr="00B205F8">
        <w:rPr>
          <w:rFonts w:ascii="Times New Roman" w:hAnsi="Times New Roman"/>
          <w:sz w:val="24"/>
          <w:szCs w:val="24"/>
          <w:lang w:eastAsia="cs-CZ"/>
        </w:rPr>
        <w:t xml:space="preserve"> v čase měnit.</w:t>
      </w:r>
      <w:r>
        <w:rPr>
          <w:rFonts w:ascii="Times New Roman" w:hAnsi="Times New Roman"/>
          <w:sz w:val="24"/>
          <w:szCs w:val="24"/>
          <w:lang w:eastAsia="cs-CZ"/>
        </w:rPr>
        <w:t xml:space="preserve"> V průběhu platnosti dokumentu je nutné ověřovat, zda tvrzení a předpoklady pro řešení zjištěného jsou nadále platné, zda nepozbyly na významnosti a naopak nevznikla jiná významná změna, kterou je nutné do dokumentu zařadit.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 popsaného důvodu je potřeba nastavit procesy pro řízení změn a v průběhu platnosti dokumentu provést evaluaci. </w:t>
      </w:r>
      <w:r w:rsidR="00C82438">
        <w:rPr>
          <w:rFonts w:ascii="Times New Roman" w:hAnsi="Times New Roman"/>
          <w:sz w:val="24"/>
          <w:szCs w:val="24"/>
          <w:lang w:eastAsia="cs-CZ"/>
        </w:rPr>
        <w:t>E</w:t>
      </w:r>
      <w:r>
        <w:rPr>
          <w:rFonts w:ascii="Times New Roman" w:hAnsi="Times New Roman"/>
          <w:sz w:val="24"/>
          <w:szCs w:val="24"/>
          <w:lang w:eastAsia="cs-CZ"/>
        </w:rPr>
        <w:t xml:space="preserve">valuaci </w:t>
      </w:r>
      <w:r w:rsidR="00C82438">
        <w:rPr>
          <w:rFonts w:ascii="Times New Roman" w:hAnsi="Times New Roman"/>
          <w:sz w:val="24"/>
          <w:szCs w:val="24"/>
          <w:lang w:eastAsia="cs-CZ"/>
        </w:rPr>
        <w:t xml:space="preserve">a operativní změny </w:t>
      </w:r>
      <w:r>
        <w:rPr>
          <w:rFonts w:ascii="Times New Roman" w:hAnsi="Times New Roman"/>
          <w:sz w:val="24"/>
          <w:szCs w:val="24"/>
          <w:lang w:eastAsia="cs-CZ"/>
        </w:rPr>
        <w:t>bude provádět odbor školství, který dokument zpracoval.</w:t>
      </w:r>
    </w:p>
    <w:p w:rsidR="00A15F23" w:rsidRDefault="0021349A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>E</w:t>
      </w:r>
      <w:r w:rsidR="00A15F23" w:rsidRPr="00433952">
        <w:rPr>
          <w:rFonts w:ascii="Times New Roman" w:hAnsi="Times New Roman"/>
          <w:b/>
          <w:sz w:val="24"/>
          <w:szCs w:val="24"/>
          <w:lang w:eastAsia="cs-CZ"/>
        </w:rPr>
        <w:t xml:space="preserve">valuace 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bude provedena </w:t>
      </w:r>
      <w:r w:rsidR="00A15F23" w:rsidRPr="00433952">
        <w:rPr>
          <w:rFonts w:ascii="Times New Roman" w:hAnsi="Times New Roman"/>
          <w:b/>
          <w:sz w:val="24"/>
          <w:szCs w:val="24"/>
          <w:lang w:eastAsia="cs-CZ"/>
        </w:rPr>
        <w:t>v polovině období platnosti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 Koncepce rozvoje školství, tj. v roce 202</w:t>
      </w:r>
      <w:r>
        <w:rPr>
          <w:rFonts w:ascii="Times New Roman" w:hAnsi="Times New Roman"/>
          <w:sz w:val="24"/>
          <w:szCs w:val="24"/>
          <w:lang w:eastAsia="cs-CZ"/>
        </w:rPr>
        <w:t>8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A15F23" w:rsidRPr="00433952">
        <w:rPr>
          <w:rFonts w:ascii="Times New Roman" w:hAnsi="Times New Roman"/>
          <w:b/>
          <w:sz w:val="24"/>
          <w:szCs w:val="24"/>
          <w:lang w:eastAsia="cs-CZ"/>
        </w:rPr>
        <w:t>Operativní změny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 budou </w:t>
      </w:r>
      <w:r w:rsidR="00A15F23" w:rsidRPr="00433952">
        <w:rPr>
          <w:rFonts w:ascii="Times New Roman" w:hAnsi="Times New Roman"/>
          <w:b/>
          <w:sz w:val="24"/>
          <w:szCs w:val="24"/>
          <w:lang w:eastAsia="cs-CZ"/>
        </w:rPr>
        <w:t>předkládány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 orgánům města současně </w:t>
      </w:r>
      <w:r w:rsidR="00A15F23" w:rsidRPr="00433952">
        <w:rPr>
          <w:rFonts w:ascii="Times New Roman" w:hAnsi="Times New Roman"/>
          <w:b/>
          <w:sz w:val="24"/>
          <w:szCs w:val="24"/>
          <w:lang w:eastAsia="cs-CZ"/>
        </w:rPr>
        <w:t>s každoročním vyhodnocením naplňování cílů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 Koncepce rozvoje školství (např. upřesnění zadání projektu, dílčí změny indikátoru, změna odpovědnosti).</w:t>
      </w:r>
    </w:p>
    <w:p w:rsidR="00A15F23" w:rsidRDefault="0021349A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Při 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evaluaci zaměřené na ověření nastavené vize, strategických cílů, </w:t>
      </w:r>
      <w:r>
        <w:rPr>
          <w:rFonts w:ascii="Times New Roman" w:hAnsi="Times New Roman"/>
          <w:sz w:val="24"/>
          <w:szCs w:val="24"/>
          <w:lang w:eastAsia="cs-CZ"/>
        </w:rPr>
        <w:t xml:space="preserve">opatření, 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implementace a indikátorů, identifikaci problémů a procesních nedostatků odpovědného odboru při naplňování Koncepce rozvoje školství, je zvolen </w:t>
      </w:r>
      <w:r w:rsidR="00A15F23" w:rsidRPr="00EB42DA">
        <w:rPr>
          <w:rFonts w:ascii="Times New Roman" w:hAnsi="Times New Roman"/>
          <w:b/>
          <w:sz w:val="24"/>
          <w:szCs w:val="24"/>
          <w:lang w:eastAsia="cs-CZ"/>
        </w:rPr>
        <w:t>strategický přístup</w:t>
      </w:r>
      <w:r w:rsidR="00A15F23"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21349A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Předem</w:t>
      </w:r>
      <w:r w:rsidR="00A15F23">
        <w:rPr>
          <w:rFonts w:ascii="Times New Roman" w:hAnsi="Times New Roman"/>
          <w:sz w:val="24"/>
          <w:szCs w:val="24"/>
          <w:lang w:eastAsia="cs-CZ"/>
        </w:rPr>
        <w:t xml:space="preserve"> je nutné stanovit harmonogram evaluačních aktivit, určit zdroje informací, shromáždit a utřídit údaje a data, vyhodnotit je a formulovat závěry a doporučení evaluace. Výsledkem procesu bude </w:t>
      </w:r>
      <w:r w:rsidR="00A15F23" w:rsidRPr="00EB42DA">
        <w:rPr>
          <w:rFonts w:ascii="Times New Roman" w:hAnsi="Times New Roman"/>
          <w:b/>
          <w:sz w:val="24"/>
          <w:szCs w:val="24"/>
          <w:lang w:eastAsia="cs-CZ"/>
        </w:rPr>
        <w:t>evaluační zpráva</w:t>
      </w:r>
      <w:r w:rsidR="00A15F23">
        <w:rPr>
          <w:rFonts w:ascii="Times New Roman" w:hAnsi="Times New Roman"/>
          <w:sz w:val="24"/>
          <w:szCs w:val="24"/>
          <w:lang w:eastAsia="cs-CZ"/>
        </w:rPr>
        <w:t>, která bude předložena Zastupitelstvu města Olomouce k </w:t>
      </w:r>
      <w:r w:rsidR="00A15F23" w:rsidRPr="00EB42DA">
        <w:rPr>
          <w:rFonts w:ascii="Times New Roman" w:hAnsi="Times New Roman"/>
          <w:b/>
          <w:sz w:val="24"/>
          <w:szCs w:val="24"/>
          <w:lang w:eastAsia="cs-CZ"/>
        </w:rPr>
        <w:t>vzetí na vědomí</w:t>
      </w:r>
      <w:r w:rsidR="00A15F23">
        <w:rPr>
          <w:rFonts w:ascii="Times New Roman" w:hAnsi="Times New Roman"/>
          <w:sz w:val="24"/>
          <w:szCs w:val="24"/>
          <w:lang w:eastAsia="cs-CZ"/>
        </w:rPr>
        <w:t>.</w:t>
      </w: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Na základě závěrů a doporučení evaluace obsažené v evaluační zprávě budou připjata opatření k úpravě Koncepce rozvoje školství. </w:t>
      </w:r>
      <w:r w:rsidRPr="00EB42DA">
        <w:rPr>
          <w:rFonts w:ascii="Times New Roman" w:hAnsi="Times New Roman"/>
          <w:b/>
          <w:sz w:val="24"/>
          <w:szCs w:val="24"/>
          <w:lang w:eastAsia="cs-CZ"/>
        </w:rPr>
        <w:t>Upravená Koncepce rozvoje školství</w:t>
      </w:r>
      <w:r>
        <w:rPr>
          <w:rFonts w:ascii="Times New Roman" w:hAnsi="Times New Roman"/>
          <w:sz w:val="24"/>
          <w:szCs w:val="24"/>
          <w:lang w:eastAsia="cs-CZ"/>
        </w:rPr>
        <w:t xml:space="preserve"> bude předložena Zastupitelstvu města Olomouce ke </w:t>
      </w:r>
      <w:r w:rsidRPr="00EB42DA">
        <w:rPr>
          <w:rFonts w:ascii="Times New Roman" w:hAnsi="Times New Roman"/>
          <w:b/>
          <w:sz w:val="24"/>
          <w:szCs w:val="24"/>
          <w:lang w:eastAsia="cs-CZ"/>
        </w:rPr>
        <w:t>schválení</w:t>
      </w:r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A15F23" w:rsidRPr="00307BAF" w:rsidRDefault="00A15F23" w:rsidP="00A15F23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A15F23" w:rsidRDefault="00A15F23" w:rsidP="00A15F23">
      <w:pPr>
        <w:pStyle w:val="Odstavecseseznamem"/>
        <w:numPr>
          <w:ilvl w:val="1"/>
          <w:numId w:val="2"/>
        </w:numPr>
        <w:spacing w:after="160" w:line="259" w:lineRule="auto"/>
        <w:ind w:left="709" w:hanging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>Monitorovací indikátory</w:t>
      </w:r>
    </w:p>
    <w:p w:rsidR="0021349A" w:rsidRDefault="00A15F23" w:rsidP="00A15F23">
      <w:pPr>
        <w:pStyle w:val="txt"/>
        <w:spacing w:after="0"/>
        <w:ind w:firstLine="0"/>
      </w:pPr>
      <w:r>
        <w:t xml:space="preserve">Pro měření úspěšnosti naplnění </w:t>
      </w:r>
      <w:r w:rsidRPr="00687332">
        <w:t>Koncepce rozvoje školství</w:t>
      </w:r>
      <w:r>
        <w:t xml:space="preserve"> statutárního města Olomouce na o</w:t>
      </w:r>
      <w:r w:rsidR="0021349A">
        <w:t>bdobí 2026 – 2030</w:t>
      </w:r>
      <w:r>
        <w:t xml:space="preserve"> byly ke každému cíli stanoveny monitorovací indikátory</w:t>
      </w:r>
      <w:r w:rsidRPr="003F1607">
        <w:rPr>
          <w:bCs/>
        </w:rPr>
        <w:t xml:space="preserve"> (ukazatele)</w:t>
      </w:r>
      <w:r>
        <w:rPr>
          <w:bCs/>
        </w:rPr>
        <w:t xml:space="preserve">, které </w:t>
      </w:r>
      <w:r w:rsidRPr="003F1607">
        <w:t>poskytují zpětnou vazbu o splnění a dosažení stanovených cílů.</w:t>
      </w:r>
      <w:r w:rsidRPr="003F1607">
        <w:rPr>
          <w:rFonts w:ascii="Arial" w:hAnsi="Arial" w:cs="Arial"/>
          <w:sz w:val="22"/>
        </w:rPr>
        <w:t xml:space="preserve"> </w:t>
      </w:r>
      <w:r w:rsidRPr="00107A06">
        <w:t xml:space="preserve">Celkový počet indikátorů je </w:t>
      </w:r>
      <w:r w:rsidR="00C41224">
        <w:t>2</w:t>
      </w:r>
      <w:r w:rsidR="006B28F8">
        <w:t>5</w:t>
      </w:r>
      <w:r>
        <w:t xml:space="preserve">. </w:t>
      </w:r>
    </w:p>
    <w:p w:rsidR="00A15F23" w:rsidRDefault="00A15F23" w:rsidP="00A15F23">
      <w:pPr>
        <w:pStyle w:val="txt"/>
        <w:spacing w:after="0"/>
        <w:ind w:firstLine="0"/>
      </w:pPr>
      <w:r>
        <w:t>Správcem indikátorů je odbor školství, jež bude</w:t>
      </w:r>
      <w:r w:rsidRPr="00107A06">
        <w:t xml:space="preserve"> </w:t>
      </w:r>
      <w:r>
        <w:t xml:space="preserve">odpovědný za jejich každoroční vyhodnocení, tzn. </w:t>
      </w:r>
      <w:r w:rsidRPr="00107A06">
        <w:t>za sledování vývoje indikátorů</w:t>
      </w:r>
      <w:r>
        <w:t xml:space="preserve"> (posuzování </w:t>
      </w:r>
      <w:r w:rsidRPr="008D567D">
        <w:t xml:space="preserve">z hlediska </w:t>
      </w:r>
      <w:r>
        <w:t>vývoje tendence, tj. poklesu, růstu nebo udržení stávajícího stavu podle nastaveného směru)</w:t>
      </w:r>
      <w:r w:rsidRPr="00107A06">
        <w:t>, získávání potřebných dat a jejich porovnání s cílovou hodnotou</w:t>
      </w:r>
      <w:r>
        <w:t xml:space="preserve">. Indikátory budou </w:t>
      </w:r>
      <w:r w:rsidRPr="003F1607">
        <w:t>monitorovány a</w:t>
      </w:r>
      <w:r>
        <w:t> vykazovány ve</w:t>
      </w:r>
      <w:r w:rsidRPr="003F1607">
        <w:t xml:space="preserve"> Zpráv</w:t>
      </w:r>
      <w:r>
        <w:t>ě</w:t>
      </w:r>
      <w:r w:rsidRPr="003F1607">
        <w:t xml:space="preserve"> o napl</w:t>
      </w:r>
      <w:r>
        <w:t>ňování Koncepce rozvoje školství.</w:t>
      </w:r>
    </w:p>
    <w:p w:rsidR="00A15F23" w:rsidRDefault="00A15F23" w:rsidP="00A15F23">
      <w:pPr>
        <w:pStyle w:val="txt"/>
        <w:spacing w:after="0"/>
        <w:ind w:firstLine="0"/>
      </w:pPr>
      <w:r>
        <w:t>Nastavené cílové hodnoty monitorovacích indikátorů jsou uvedeny jako ideální stav (na základě expertního odhadu), kterého chce město dosáhnout, byť se mu to z různých objektivních důvodů nemusí podařit. Klíčové je nastavení směru u každého indikátoru.</w:t>
      </w:r>
    </w:p>
    <w:p w:rsidR="00A15F23" w:rsidRDefault="00A15F23" w:rsidP="00A15F23">
      <w:pPr>
        <w:pStyle w:val="txt"/>
        <w:spacing w:after="0"/>
        <w:ind w:firstLine="0"/>
      </w:pPr>
    </w:p>
    <w:p w:rsidR="00A15F23" w:rsidRDefault="00A15F23" w:rsidP="002134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29A1">
        <w:rPr>
          <w:rFonts w:ascii="Times New Roman" w:hAnsi="Times New Roman"/>
          <w:sz w:val="24"/>
          <w:szCs w:val="24"/>
        </w:rPr>
        <w:t xml:space="preserve">V akčním plánu budou již </w:t>
      </w:r>
      <w:r w:rsidRPr="008C29A1">
        <w:rPr>
          <w:rFonts w:ascii="Times New Roman" w:hAnsi="Times New Roman"/>
          <w:b/>
          <w:sz w:val="24"/>
          <w:szCs w:val="24"/>
        </w:rPr>
        <w:t>naplánované konkrétní hodnoty</w:t>
      </w:r>
      <w:r>
        <w:rPr>
          <w:rFonts w:ascii="Times New Roman" w:hAnsi="Times New Roman"/>
          <w:sz w:val="24"/>
          <w:szCs w:val="24"/>
        </w:rPr>
        <w:t>, kterých by mělo být realizací projektu</w:t>
      </w:r>
      <w:r w:rsidRPr="008C29A1">
        <w:rPr>
          <w:rFonts w:ascii="Times New Roman" w:hAnsi="Times New Roman"/>
          <w:sz w:val="24"/>
          <w:szCs w:val="24"/>
        </w:rPr>
        <w:t xml:space="preserve"> dosaženo. Plánovaná hodnota bude porovnána </w:t>
      </w:r>
      <w:r w:rsidRPr="008C29A1">
        <w:rPr>
          <w:rFonts w:ascii="Times New Roman" w:hAnsi="Times New Roman"/>
          <w:b/>
          <w:sz w:val="24"/>
          <w:szCs w:val="24"/>
        </w:rPr>
        <w:t>s hodnotou reálnou</w:t>
      </w:r>
      <w:r>
        <w:rPr>
          <w:rFonts w:ascii="Times New Roman" w:hAnsi="Times New Roman"/>
          <w:b/>
          <w:sz w:val="24"/>
          <w:szCs w:val="24"/>
        </w:rPr>
        <w:t>,</w:t>
      </w:r>
      <w:r w:rsidRPr="008C29A1">
        <w:rPr>
          <w:rFonts w:ascii="Times New Roman" w:hAnsi="Times New Roman"/>
          <w:b/>
          <w:sz w:val="24"/>
          <w:szCs w:val="24"/>
        </w:rPr>
        <w:t xml:space="preserve"> dosaženou</w:t>
      </w:r>
      <w:r w:rsidR="0021349A">
        <w:rPr>
          <w:rFonts w:ascii="Times New Roman" w:hAnsi="Times New Roman"/>
          <w:sz w:val="24"/>
          <w:szCs w:val="24"/>
        </w:rPr>
        <w:t xml:space="preserve"> podle skutečnosti.</w:t>
      </w:r>
    </w:p>
    <w:p w:rsidR="00090CC4" w:rsidRDefault="00090CC4" w:rsidP="002134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90CC4" w:rsidRPr="00DC0C8C" w:rsidRDefault="00090CC4" w:rsidP="002134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DC0C8C">
        <w:rPr>
          <w:rFonts w:ascii="Times New Roman" w:hAnsi="Times New Roman"/>
          <w:sz w:val="24"/>
          <w:szCs w:val="24"/>
          <w:u w:val="single"/>
        </w:rPr>
        <w:t>Přehled sledovaných indikátorů</w:t>
      </w:r>
    </w:p>
    <w:p w:rsidR="009D5EF2" w:rsidRDefault="009D5EF2" w:rsidP="002134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206" w:type="dxa"/>
        <w:jc w:val="center"/>
        <w:tblInd w:w="-45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564"/>
        <w:gridCol w:w="1056"/>
        <w:gridCol w:w="932"/>
        <w:gridCol w:w="5408"/>
        <w:gridCol w:w="2246"/>
      </w:tblGrid>
      <w:tr w:rsidR="00677AA9" w:rsidRPr="00677AA9" w:rsidTr="00677AA9">
        <w:trPr>
          <w:jc w:val="center"/>
        </w:trPr>
        <w:tc>
          <w:tcPr>
            <w:tcW w:w="564" w:type="dxa"/>
            <w:shd w:val="clear" w:color="auto" w:fill="365F91" w:themeFill="accent1" w:themeFillShade="BF"/>
          </w:tcPr>
          <w:p w:rsidR="009D5EF2" w:rsidRPr="00677AA9" w:rsidRDefault="009D5EF2" w:rsidP="0021349A">
            <w:pPr>
              <w:pStyle w:val="Odstavecseseznamem"/>
              <w:ind w:left="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77A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SC</w:t>
            </w:r>
          </w:p>
        </w:tc>
        <w:tc>
          <w:tcPr>
            <w:tcW w:w="1056" w:type="dxa"/>
            <w:shd w:val="clear" w:color="auto" w:fill="365F91" w:themeFill="accent1" w:themeFillShade="BF"/>
          </w:tcPr>
          <w:p w:rsidR="009D5EF2" w:rsidRPr="00677AA9" w:rsidRDefault="00677AA9" w:rsidP="0021349A">
            <w:pPr>
              <w:pStyle w:val="Odstavecseseznamem"/>
              <w:ind w:left="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77A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o</w:t>
            </w:r>
            <w:r w:rsidR="009D5EF2" w:rsidRPr="00677A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patření</w:t>
            </w:r>
          </w:p>
        </w:tc>
        <w:tc>
          <w:tcPr>
            <w:tcW w:w="932" w:type="dxa"/>
            <w:shd w:val="clear" w:color="auto" w:fill="365F91" w:themeFill="accent1" w:themeFillShade="BF"/>
          </w:tcPr>
          <w:p w:rsidR="009D5EF2" w:rsidRPr="00677AA9" w:rsidRDefault="00677AA9" w:rsidP="0021349A">
            <w:pPr>
              <w:pStyle w:val="Odstavecseseznamem"/>
              <w:ind w:left="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77A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MI</w:t>
            </w:r>
          </w:p>
        </w:tc>
        <w:tc>
          <w:tcPr>
            <w:tcW w:w="5408" w:type="dxa"/>
            <w:shd w:val="clear" w:color="auto" w:fill="365F91" w:themeFill="accent1" w:themeFillShade="BF"/>
          </w:tcPr>
          <w:p w:rsidR="009D5EF2" w:rsidRPr="00677AA9" w:rsidRDefault="00677AA9" w:rsidP="0021349A">
            <w:pPr>
              <w:pStyle w:val="Odstavecseseznamem"/>
              <w:ind w:left="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77A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název indikátoru</w:t>
            </w:r>
          </w:p>
        </w:tc>
        <w:tc>
          <w:tcPr>
            <w:tcW w:w="2246" w:type="dxa"/>
            <w:shd w:val="clear" w:color="auto" w:fill="365F91" w:themeFill="accent1" w:themeFillShade="BF"/>
          </w:tcPr>
          <w:p w:rsidR="009D5EF2" w:rsidRPr="00677AA9" w:rsidRDefault="00677AA9" w:rsidP="0021349A">
            <w:pPr>
              <w:pStyle w:val="Odstavecseseznamem"/>
              <w:ind w:left="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77A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administrátor</w:t>
            </w:r>
          </w:p>
        </w:tc>
      </w:tr>
      <w:tr w:rsidR="00677AA9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677AA9" w:rsidRPr="00677AA9" w:rsidRDefault="00677AA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77AA9" w:rsidRPr="00677AA9" w:rsidRDefault="00677AA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77AA9" w:rsidRPr="00677AA9" w:rsidRDefault="00677AA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677AA9" w:rsidRPr="00677AA9" w:rsidRDefault="00677AA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pedagogů, kteří se vzdělávají v oblasti rozvoje klíčových kompetencí žáků, vytvářejí nové metody a strategie výuky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677AA9" w:rsidRPr="00677AA9" w:rsidRDefault="00677AA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odbor školství,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základní a mateřské školy</w:t>
            </w:r>
          </w:p>
        </w:tc>
      </w:tr>
      <w:tr w:rsidR="00677AA9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677AA9" w:rsidRPr="00677AA9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77AA9" w:rsidRDefault="00677AA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77AA9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677AA9" w:rsidRDefault="000D259D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odborných učeben v MŠ a ZŠ využívaných v době výuky polytechnického a řemeslného vzdělávání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677AA9" w:rsidRDefault="000D259D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základní a mateřské školy</w:t>
            </w:r>
          </w:p>
        </w:tc>
      </w:tr>
      <w:tr w:rsidR="000D259D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D259D" w:rsidRPr="00677AA9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sdílených odborných učeben ZŠ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základní a mateřské školy</w:t>
            </w:r>
          </w:p>
        </w:tc>
      </w:tr>
      <w:tr w:rsidR="000D259D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vzdělávacích programů, které absolvovali děti, žáci a pedagogové v Centru ekologických aktivit Sluňákov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a mateřské školy</w:t>
            </w:r>
          </w:p>
        </w:tc>
      </w:tr>
      <w:tr w:rsidR="000D259D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D259D" w:rsidRDefault="000D259D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Počet škol, které spolupracují se sportovními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organizacemi, kluby, sdruženími, trenéry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D259D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odbor školství,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základní a mateřské školy</w:t>
            </w:r>
          </w:p>
        </w:tc>
      </w:tr>
      <w:tr w:rsidR="00D377F9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proškolených pedagogů v oblasti výskytu a prevence rizikového chování dětí a žáků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a mateřské školy</w:t>
            </w:r>
          </w:p>
        </w:tc>
      </w:tr>
      <w:tr w:rsidR="00D377F9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realizovaných aktivit pro žáky v rámci prevence rizikového chování žáků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a mateřské školy</w:t>
            </w:r>
          </w:p>
        </w:tc>
      </w:tr>
      <w:tr w:rsidR="00D377F9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škol, které využívají inovativní kreativní přístup ve vzdělávání žáků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základní a mateřské školy</w:t>
            </w:r>
          </w:p>
        </w:tc>
      </w:tr>
      <w:tr w:rsidR="00D377F9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spolupracujících institucí při vzdělávání žáků kreativní formou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377F9" w:rsidRDefault="00D377F9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základní a mateřské školy</w:t>
            </w:r>
          </w:p>
        </w:tc>
      </w:tr>
      <w:tr w:rsidR="007A68AB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A68AB" w:rsidRDefault="007A68AB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A68AB" w:rsidRDefault="007A68AB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A68AB" w:rsidRDefault="007A68AB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7A68AB" w:rsidRDefault="00090CC4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 vyučujících kybernetickou bezpečnost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A68AB" w:rsidRDefault="00090CC4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školy</w:t>
            </w:r>
          </w:p>
        </w:tc>
      </w:tr>
      <w:tr w:rsidR="00090CC4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 využívajících ve výuce AI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90CC4" w:rsidRDefault="00090CC4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školy</w:t>
            </w:r>
          </w:p>
        </w:tc>
      </w:tr>
      <w:tr w:rsidR="00090CC4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90CC4" w:rsidRDefault="006B28F8" w:rsidP="000F22C5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Počet podpořených dětí a žáků </w:t>
            </w:r>
            <w:r w:rsidR="000F22C5">
              <w:rPr>
                <w:rFonts w:ascii="Times New Roman" w:hAnsi="Times New Roman"/>
                <w:sz w:val="24"/>
                <w:szCs w:val="24"/>
              </w:rPr>
              <w:t>při přístupu ke školním a mimoškolním aktivitám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 Fondu pomoci olomouckým dětem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90CC4" w:rsidRDefault="00A40384" w:rsidP="00A4038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</w:t>
            </w:r>
          </w:p>
        </w:tc>
      </w:tr>
      <w:tr w:rsidR="00090CC4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90CC4" w:rsidRDefault="00090CC4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školních jídelen využívajících regionálních potravin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90CC4" w:rsidRDefault="00090CC4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školní jídelny</w:t>
            </w:r>
          </w:p>
        </w:tc>
      </w:tr>
      <w:tr w:rsidR="00090CC4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90CC4" w:rsidRDefault="00090CC4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90CC4" w:rsidRDefault="00090CC4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školních jídelen připravujících dietní stravování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90CC4" w:rsidRDefault="00090CC4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školní jídelny</w:t>
            </w:r>
          </w:p>
        </w:tc>
      </w:tr>
      <w:tr w:rsidR="00090CC4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90CC4" w:rsidRDefault="00090CC4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90CC4" w:rsidRDefault="00090CC4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vybudovaných odborných učeben v základních a mateřských školách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90CC4" w:rsidRDefault="00090CC4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</w:t>
            </w:r>
          </w:p>
        </w:tc>
      </w:tr>
      <w:tr w:rsidR="00090CC4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0CC4" w:rsidRDefault="00090CC4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90CC4" w:rsidRDefault="00090CC4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8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090CC4" w:rsidRDefault="00017406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rekonstruovaných dětských a sportovních hřišť v MŠ a ZŠ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90CC4" w:rsidRDefault="00AF48C0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a mateřské školy</w:t>
            </w:r>
          </w:p>
        </w:tc>
      </w:tr>
      <w:tr w:rsidR="00AF48C0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AF48C0" w:rsidRDefault="00AF48C0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8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AF48C0" w:rsidRDefault="00AF48C0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rekonstruovaných tělocvičen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AF48C0" w:rsidRDefault="00AF48C0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školy</w:t>
            </w:r>
          </w:p>
        </w:tc>
      </w:tr>
      <w:tr w:rsidR="00AF48C0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AF48C0" w:rsidRDefault="00AF48C0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8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AF48C0" w:rsidRDefault="00AF48C0" w:rsidP="00AF48C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budov mateřských a základních škol, na kterých byla realizována energetická opatření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AF48C0" w:rsidRDefault="00AF48C0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</w:t>
            </w:r>
          </w:p>
        </w:tc>
      </w:tr>
      <w:tr w:rsidR="00AF48C0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AF48C0" w:rsidRDefault="006B28F8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AF48C0" w:rsidRDefault="00AF48C0" w:rsidP="00AF48C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základních škol s novou nebo rozšířenou knihovnou, modernizovanými kabinety a počet relaxačních a odpočinkových prostor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AF48C0" w:rsidRDefault="00AF48C0" w:rsidP="00090CC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školství, základní školy</w:t>
            </w:r>
          </w:p>
        </w:tc>
      </w:tr>
      <w:tr w:rsidR="00AF48C0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48C0" w:rsidRDefault="00AF48C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AF48C0" w:rsidRDefault="00AF48C0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AF48C0" w:rsidRDefault="00AF48C0" w:rsidP="00AF48C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aktivit spolupráce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AF48C0" w:rsidRDefault="00AF48C0" w:rsidP="00867F5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základní a mateřské školy</w:t>
            </w:r>
          </w:p>
        </w:tc>
      </w:tr>
      <w:tr w:rsidR="00867F50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867F50" w:rsidRDefault="00867F5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67F50" w:rsidRDefault="00867F5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67F50" w:rsidRDefault="00867F50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867F50" w:rsidRDefault="00867F50" w:rsidP="00AF48C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Kapacita mateřských a základních škol, kapacita MŠ a ZŠ jiných zřizovatelů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67F50" w:rsidRDefault="00867F50" w:rsidP="00867F5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</w:t>
            </w:r>
          </w:p>
        </w:tc>
      </w:tr>
      <w:tr w:rsidR="00867F50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867F50" w:rsidRDefault="00867F5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67F50" w:rsidRDefault="00867F50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67F50" w:rsidRDefault="00867F50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867F50" w:rsidRDefault="009C011E" w:rsidP="00AF48C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Internetový portál školství, komunikační platforma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67F50" w:rsidRDefault="009C011E" w:rsidP="00867F5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</w:t>
            </w:r>
          </w:p>
        </w:tc>
      </w:tr>
      <w:tr w:rsidR="009C011E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9C011E" w:rsidRDefault="009C011E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9C011E" w:rsidRDefault="009C011E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C011E" w:rsidRDefault="009C011E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9C011E" w:rsidRDefault="009C011E" w:rsidP="00AF48C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tříd s rozšířenou výukou předmětů, počet žáků ZŠ Začít spolu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9C011E" w:rsidRDefault="009C011E" w:rsidP="00867F5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</w:t>
            </w:r>
          </w:p>
        </w:tc>
      </w:tr>
      <w:tr w:rsidR="00205B61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205B61" w:rsidRDefault="00205B61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5B61" w:rsidRDefault="00205B61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05B61" w:rsidRDefault="00205B61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205B61" w:rsidRDefault="00205B61" w:rsidP="00205B6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setkání ředitelů základních a mateřských škol a zřizovatele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05B61" w:rsidRDefault="00205B61" w:rsidP="00867F5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 školství</w:t>
            </w:r>
          </w:p>
        </w:tc>
      </w:tr>
      <w:tr w:rsidR="00205B61" w:rsidRPr="00677AA9" w:rsidTr="00677AA9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205B61" w:rsidRDefault="00205B61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5B61" w:rsidRDefault="00205B61" w:rsidP="00677AA9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05B61" w:rsidRDefault="00205B61" w:rsidP="006B28F8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205B61" w:rsidRDefault="00205B61" w:rsidP="00205B6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volnočasových aktivit pro veřejnost, počet vzdělávacích aktivit pro veřejnost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05B61" w:rsidRDefault="00205B61" w:rsidP="00867F50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základní a mateřské školy</w:t>
            </w:r>
          </w:p>
        </w:tc>
      </w:tr>
    </w:tbl>
    <w:p w:rsidR="009D5EF2" w:rsidRPr="0021349A" w:rsidRDefault="009D5EF2" w:rsidP="002134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pStyle w:val="txt"/>
        <w:spacing w:after="0"/>
        <w:ind w:firstLine="0"/>
      </w:pPr>
    </w:p>
    <w:p w:rsidR="00A40384" w:rsidRDefault="00A40384" w:rsidP="00A15F23">
      <w:pPr>
        <w:pStyle w:val="txt"/>
        <w:spacing w:after="0"/>
        <w:ind w:firstLine="0"/>
      </w:pPr>
    </w:p>
    <w:p w:rsidR="00205B61" w:rsidRDefault="00205B61" w:rsidP="00A15F23">
      <w:pPr>
        <w:pStyle w:val="txt"/>
        <w:spacing w:after="0"/>
        <w:ind w:firstLine="0"/>
      </w:pPr>
    </w:p>
    <w:p w:rsidR="0029714D" w:rsidRDefault="0029714D" w:rsidP="00A15F23">
      <w:pPr>
        <w:pStyle w:val="txt"/>
        <w:spacing w:after="0"/>
        <w:ind w:firstLine="0"/>
        <w:rPr>
          <w:u w:val="single"/>
        </w:rPr>
      </w:pPr>
    </w:p>
    <w:p w:rsidR="00A15F23" w:rsidRPr="00205B61" w:rsidRDefault="00205B61" w:rsidP="00A15F23">
      <w:pPr>
        <w:pStyle w:val="txt"/>
        <w:spacing w:after="0"/>
        <w:ind w:firstLine="0"/>
        <w:rPr>
          <w:u w:val="single"/>
        </w:rPr>
      </w:pPr>
      <w:r w:rsidRPr="00205B61">
        <w:rPr>
          <w:u w:val="single"/>
        </w:rPr>
        <w:t>Hodnota indikátorů</w:t>
      </w:r>
    </w:p>
    <w:p w:rsidR="00205B61" w:rsidRPr="00F06061" w:rsidRDefault="00205B61" w:rsidP="00A15F23">
      <w:pPr>
        <w:pStyle w:val="txt"/>
        <w:spacing w:after="0"/>
        <w:ind w:firstLine="0"/>
        <w:rPr>
          <w:i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3960"/>
        <w:gridCol w:w="1080"/>
        <w:gridCol w:w="1191"/>
        <w:gridCol w:w="1158"/>
      </w:tblGrid>
      <w:tr w:rsidR="00A15F23" w:rsidRPr="00A80DC4" w:rsidTr="000D1897">
        <w:trPr>
          <w:trHeight w:val="405"/>
          <w:tblHeader/>
          <w:jc w:val="center"/>
        </w:trPr>
        <w:tc>
          <w:tcPr>
            <w:tcW w:w="2808" w:type="dxa"/>
            <w:vMerge w:val="restart"/>
            <w:shd w:val="clear" w:color="auto" w:fill="C6D9F1" w:themeFill="text2" w:themeFillTint="33"/>
            <w:vAlign w:val="center"/>
          </w:tcPr>
          <w:p w:rsidR="009D5EF2" w:rsidRDefault="009D5EF2" w:rsidP="00BB0B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Strategický cíl</w:t>
            </w:r>
          </w:p>
          <w:p w:rsidR="00A15F23" w:rsidRPr="00A80DC4" w:rsidRDefault="009D5EF2" w:rsidP="00BB0B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Opatření</w:t>
            </w:r>
          </w:p>
        </w:tc>
        <w:tc>
          <w:tcPr>
            <w:tcW w:w="3960" w:type="dxa"/>
            <w:vMerge w:val="restart"/>
            <w:shd w:val="clear" w:color="auto" w:fill="C6D9F1" w:themeFill="text2" w:themeFillTint="33"/>
            <w:vAlign w:val="center"/>
          </w:tcPr>
          <w:p w:rsidR="00A15F23" w:rsidRPr="00A80DC4" w:rsidRDefault="00A15F23" w:rsidP="00BB0B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Monitorovací indikátor</w:t>
            </w:r>
          </w:p>
        </w:tc>
        <w:tc>
          <w:tcPr>
            <w:tcW w:w="3429" w:type="dxa"/>
            <w:gridSpan w:val="3"/>
            <w:shd w:val="clear" w:color="auto" w:fill="C6D9F1" w:themeFill="text2" w:themeFillTint="33"/>
            <w:vAlign w:val="center"/>
          </w:tcPr>
          <w:p w:rsidR="00A15F23" w:rsidRPr="00A80DC4" w:rsidRDefault="00A15F23" w:rsidP="00BB0B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Hodnota</w:t>
            </w:r>
          </w:p>
        </w:tc>
      </w:tr>
      <w:tr w:rsidR="00A15F23" w:rsidRPr="00A80DC4" w:rsidTr="000D1897">
        <w:trPr>
          <w:trHeight w:val="405"/>
          <w:tblHeader/>
          <w:jc w:val="center"/>
        </w:trPr>
        <w:tc>
          <w:tcPr>
            <w:tcW w:w="2808" w:type="dxa"/>
            <w:vMerge/>
            <w:shd w:val="clear" w:color="auto" w:fill="C6D9F1" w:themeFill="text2" w:themeFillTint="33"/>
            <w:vAlign w:val="center"/>
          </w:tcPr>
          <w:p w:rsidR="00A15F23" w:rsidRPr="00A80DC4" w:rsidDel="0013451E" w:rsidRDefault="00A15F23" w:rsidP="00BB0B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0" w:type="dxa"/>
            <w:vMerge/>
            <w:shd w:val="clear" w:color="auto" w:fill="C6D9F1" w:themeFill="text2" w:themeFillTint="33"/>
            <w:vAlign w:val="center"/>
          </w:tcPr>
          <w:p w:rsidR="00A15F23" w:rsidRPr="00A80DC4" w:rsidRDefault="00A15F23" w:rsidP="00BB0B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:rsidR="00A15F23" w:rsidRPr="00A80DC4" w:rsidRDefault="00A15F23" w:rsidP="009D5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Výchozí stav (20</w:t>
            </w:r>
            <w:r w:rsidR="009D5EF2">
              <w:rPr>
                <w:rFonts w:ascii="Times New Roman" w:hAnsi="Times New Roman"/>
                <w:b/>
                <w:i/>
              </w:rPr>
              <w:t>26</w:t>
            </w:r>
            <w:r w:rsidRPr="00A80DC4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91" w:type="dxa"/>
            <w:shd w:val="clear" w:color="auto" w:fill="C6D9F1" w:themeFill="text2" w:themeFillTint="33"/>
            <w:vAlign w:val="center"/>
          </w:tcPr>
          <w:p w:rsidR="00A15F23" w:rsidRPr="00A80DC4" w:rsidRDefault="00A15F23" w:rsidP="009D5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Cílový stav (20</w:t>
            </w:r>
            <w:r w:rsidR="009D5EF2">
              <w:rPr>
                <w:rFonts w:ascii="Times New Roman" w:hAnsi="Times New Roman"/>
                <w:b/>
                <w:i/>
              </w:rPr>
              <w:t>30</w:t>
            </w:r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58" w:type="dxa"/>
            <w:shd w:val="clear" w:color="auto" w:fill="C6D9F1" w:themeFill="text2" w:themeFillTint="33"/>
            <w:vAlign w:val="center"/>
          </w:tcPr>
          <w:p w:rsidR="00A15F23" w:rsidRPr="00A80DC4" w:rsidRDefault="00A15F23" w:rsidP="00BB0B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Optimální směr</w:t>
            </w:r>
          </w:p>
        </w:tc>
      </w:tr>
      <w:tr w:rsidR="00A15F23" w:rsidRPr="00A80DC4" w:rsidTr="00BB0BC2">
        <w:trPr>
          <w:jc w:val="center"/>
        </w:trPr>
        <w:tc>
          <w:tcPr>
            <w:tcW w:w="10197" w:type="dxa"/>
            <w:gridSpan w:val="5"/>
            <w:vAlign w:val="center"/>
          </w:tcPr>
          <w:p w:rsidR="00A15F23" w:rsidRPr="00A80DC4" w:rsidRDefault="00A15F23" w:rsidP="007730A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FE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921F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730A8">
              <w:rPr>
                <w:rFonts w:ascii="Times New Roman" w:hAnsi="Times New Roman"/>
                <w:b/>
                <w:i/>
                <w:sz w:val="24"/>
                <w:szCs w:val="24"/>
              </w:rPr>
              <w:t>Kvalitní výuka, výchova a využití volného času</w:t>
            </w:r>
          </w:p>
        </w:tc>
      </w:tr>
      <w:tr w:rsidR="00A15F23" w:rsidRPr="00A80DC4" w:rsidTr="00BB0BC2">
        <w:trPr>
          <w:jc w:val="center"/>
        </w:trPr>
        <w:tc>
          <w:tcPr>
            <w:tcW w:w="2808" w:type="dxa"/>
            <w:vAlign w:val="center"/>
          </w:tcPr>
          <w:p w:rsidR="00A15F23" w:rsidRPr="00A80DC4" w:rsidRDefault="00A15F23" w:rsidP="007730A8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 xml:space="preserve">1.1 </w:t>
            </w:r>
            <w:r w:rsidR="007730A8">
              <w:rPr>
                <w:rFonts w:ascii="Times New Roman" w:hAnsi="Times New Roman"/>
              </w:rPr>
              <w:t>Rozvoj klíčových kompetencí</w:t>
            </w:r>
          </w:p>
        </w:tc>
        <w:tc>
          <w:tcPr>
            <w:tcW w:w="3960" w:type="dxa"/>
            <w:vAlign w:val="center"/>
          </w:tcPr>
          <w:p w:rsidR="00A15F23" w:rsidRPr="00EF042A" w:rsidRDefault="007730A8" w:rsidP="00BB0BC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pedagogů, kteří se vzdělávají v oblasti rozvoje klíčových kompetencí žáků, vytvářejí nové metody a strategie výuky</w:t>
            </w:r>
          </w:p>
        </w:tc>
        <w:tc>
          <w:tcPr>
            <w:tcW w:w="1080" w:type="dxa"/>
            <w:vAlign w:val="center"/>
          </w:tcPr>
          <w:p w:rsidR="00A15F23" w:rsidRPr="007730A8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91" w:type="dxa"/>
            <w:vAlign w:val="center"/>
          </w:tcPr>
          <w:p w:rsidR="00A15F23" w:rsidRPr="007730A8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0A8">
              <w:rPr>
                <w:rFonts w:ascii="Times New Roman" w:hAnsi="Times New Roman"/>
              </w:rPr>
              <w:t>30</w:t>
            </w:r>
          </w:p>
        </w:tc>
        <w:tc>
          <w:tcPr>
            <w:tcW w:w="1158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jc w:val="center"/>
        </w:trPr>
        <w:tc>
          <w:tcPr>
            <w:tcW w:w="2808" w:type="dxa"/>
            <w:vAlign w:val="center"/>
          </w:tcPr>
          <w:p w:rsidR="00A15F23" w:rsidRPr="00A80DC4" w:rsidRDefault="00A15F23" w:rsidP="007730A8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1.2 </w:t>
            </w:r>
            <w:r w:rsidR="007730A8">
              <w:rPr>
                <w:rFonts w:ascii="Times New Roman" w:hAnsi="Times New Roman"/>
              </w:rPr>
              <w:t>Polytechnické a řemeslné vzdělávání</w:t>
            </w:r>
          </w:p>
        </w:tc>
        <w:tc>
          <w:tcPr>
            <w:tcW w:w="396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odborných učeben v MŠ a ZŠ využívaných v době výuky polytechnického a řemeslného vzdělávání</w:t>
            </w:r>
          </w:p>
        </w:tc>
        <w:tc>
          <w:tcPr>
            <w:tcW w:w="108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91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58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jc w:val="center"/>
        </w:trPr>
        <w:tc>
          <w:tcPr>
            <w:tcW w:w="2808" w:type="dxa"/>
            <w:vAlign w:val="center"/>
          </w:tcPr>
          <w:p w:rsidR="00A15F23" w:rsidRPr="00A80DC4" w:rsidRDefault="00A15F23" w:rsidP="00BB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sdílených odborných učeben ZŠ</w:t>
            </w:r>
          </w:p>
        </w:tc>
        <w:tc>
          <w:tcPr>
            <w:tcW w:w="108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91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8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jc w:val="center"/>
        </w:trPr>
        <w:tc>
          <w:tcPr>
            <w:tcW w:w="2808" w:type="dxa"/>
            <w:vAlign w:val="center"/>
          </w:tcPr>
          <w:p w:rsidR="00A15F23" w:rsidRPr="00A80DC4" w:rsidRDefault="00A15F23" w:rsidP="007730A8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</w:t>
            </w:r>
            <w:r w:rsidR="007730A8">
              <w:rPr>
                <w:rFonts w:ascii="Times New Roman" w:hAnsi="Times New Roman"/>
              </w:rPr>
              <w:t>3 Environmentální výchova, vzdělávání a osvěta</w:t>
            </w:r>
          </w:p>
        </w:tc>
        <w:tc>
          <w:tcPr>
            <w:tcW w:w="396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vzdělávacích programů, které absolvovali děti, žáci a pedagogové v Centru ekologických aktivit Sluňákov</w:t>
            </w:r>
          </w:p>
        </w:tc>
        <w:tc>
          <w:tcPr>
            <w:tcW w:w="108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91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8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jc w:val="center"/>
        </w:trPr>
        <w:tc>
          <w:tcPr>
            <w:tcW w:w="2808" w:type="dxa"/>
            <w:vAlign w:val="center"/>
          </w:tcPr>
          <w:p w:rsidR="00A15F23" w:rsidRPr="00A80DC4" w:rsidRDefault="00A15F23" w:rsidP="007730A8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</w:t>
            </w:r>
            <w:r w:rsidR="007730A8">
              <w:rPr>
                <w:rFonts w:ascii="Times New Roman" w:hAnsi="Times New Roman"/>
              </w:rPr>
              <w:t>4 Tělovýchova a sport</w:t>
            </w:r>
          </w:p>
        </w:tc>
        <w:tc>
          <w:tcPr>
            <w:tcW w:w="396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škol, které spolupracují se sportovními organizacemi, kluby, sdruženími, trenéry</w:t>
            </w:r>
          </w:p>
        </w:tc>
        <w:tc>
          <w:tcPr>
            <w:tcW w:w="108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1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58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trHeight w:val="278"/>
          <w:jc w:val="center"/>
        </w:trPr>
        <w:tc>
          <w:tcPr>
            <w:tcW w:w="2808" w:type="dxa"/>
            <w:vMerge w:val="restart"/>
            <w:vAlign w:val="center"/>
          </w:tcPr>
          <w:p w:rsidR="00A15F23" w:rsidRPr="00A80DC4" w:rsidRDefault="00A15F23" w:rsidP="007730A8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</w:t>
            </w:r>
            <w:r w:rsidR="007730A8">
              <w:rPr>
                <w:rFonts w:ascii="Times New Roman" w:hAnsi="Times New Roman"/>
              </w:rPr>
              <w:t>5 Prevence rizikového chování žáků</w:t>
            </w:r>
          </w:p>
        </w:tc>
        <w:tc>
          <w:tcPr>
            <w:tcW w:w="396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proškolených pedagogů v oblasti výskytu a prevence rizikového chování dětí a žáků</w:t>
            </w:r>
          </w:p>
        </w:tc>
        <w:tc>
          <w:tcPr>
            <w:tcW w:w="108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91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58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trHeight w:val="277"/>
          <w:jc w:val="center"/>
        </w:trPr>
        <w:tc>
          <w:tcPr>
            <w:tcW w:w="2808" w:type="dxa"/>
            <w:vMerge/>
            <w:vAlign w:val="center"/>
          </w:tcPr>
          <w:p w:rsidR="00A15F23" w:rsidRPr="00A80DC4" w:rsidRDefault="00A15F23" w:rsidP="00BB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realizovaných aktivit pro žáky v rámci prevence rizikového chování žáků</w:t>
            </w:r>
          </w:p>
        </w:tc>
        <w:tc>
          <w:tcPr>
            <w:tcW w:w="1080" w:type="dxa"/>
            <w:vAlign w:val="center"/>
          </w:tcPr>
          <w:p w:rsidR="00A15F23" w:rsidRPr="00A80DC4" w:rsidRDefault="007730A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1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58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772B76" w:rsidRPr="00A80DC4" w:rsidTr="00BB0BC2">
        <w:trPr>
          <w:jc w:val="center"/>
        </w:trPr>
        <w:tc>
          <w:tcPr>
            <w:tcW w:w="2808" w:type="dxa"/>
            <w:vMerge w:val="restart"/>
            <w:vAlign w:val="center"/>
          </w:tcPr>
          <w:p w:rsidR="00772B76" w:rsidRPr="00A80DC4" w:rsidRDefault="00772B76" w:rsidP="00772B76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6 Kreativní vzdělávání</w:t>
            </w:r>
          </w:p>
        </w:tc>
        <w:tc>
          <w:tcPr>
            <w:tcW w:w="3960" w:type="dxa"/>
            <w:vAlign w:val="center"/>
          </w:tcPr>
          <w:p w:rsidR="00772B76" w:rsidRPr="00A80DC4" w:rsidRDefault="00772B76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škol, které využívají inovativní kreativní přístup ve vzdělávání žáků</w:t>
            </w:r>
          </w:p>
        </w:tc>
        <w:tc>
          <w:tcPr>
            <w:tcW w:w="1080" w:type="dxa"/>
            <w:vAlign w:val="center"/>
          </w:tcPr>
          <w:p w:rsidR="00772B76" w:rsidRPr="00772B76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vAlign w:val="center"/>
          </w:tcPr>
          <w:p w:rsidR="00772B76" w:rsidRPr="00772B76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58" w:type="dxa"/>
            <w:vAlign w:val="center"/>
          </w:tcPr>
          <w:p w:rsidR="00772B76" w:rsidRPr="00772B76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772B76" w:rsidRPr="00A80DC4" w:rsidTr="00BB0BC2">
        <w:trPr>
          <w:jc w:val="center"/>
        </w:trPr>
        <w:tc>
          <w:tcPr>
            <w:tcW w:w="2808" w:type="dxa"/>
            <w:vMerge/>
            <w:vAlign w:val="center"/>
          </w:tcPr>
          <w:p w:rsidR="00772B76" w:rsidRPr="00A80DC4" w:rsidRDefault="00772B76" w:rsidP="00772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:rsidR="00772B76" w:rsidRDefault="00772B76" w:rsidP="00BB0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spolupracujících institucí při vzdělávání žáků kreativní formou</w:t>
            </w:r>
          </w:p>
        </w:tc>
        <w:tc>
          <w:tcPr>
            <w:tcW w:w="1080" w:type="dxa"/>
            <w:vAlign w:val="center"/>
          </w:tcPr>
          <w:p w:rsidR="00772B76" w:rsidRPr="00772B76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vAlign w:val="center"/>
          </w:tcPr>
          <w:p w:rsidR="00772B76" w:rsidRPr="00772B76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8" w:type="dxa"/>
            <w:vAlign w:val="center"/>
          </w:tcPr>
          <w:p w:rsidR="00772B76" w:rsidRPr="00772B76" w:rsidRDefault="00517A7E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  <w:r w:rsidR="00772B76"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↔</w:t>
            </w:r>
          </w:p>
        </w:tc>
      </w:tr>
      <w:tr w:rsidR="00A15F23" w:rsidRPr="00A80DC4" w:rsidTr="00BB0BC2">
        <w:trPr>
          <w:trHeight w:val="278"/>
          <w:jc w:val="center"/>
        </w:trPr>
        <w:tc>
          <w:tcPr>
            <w:tcW w:w="2808" w:type="dxa"/>
            <w:vMerge w:val="restart"/>
            <w:vAlign w:val="center"/>
          </w:tcPr>
          <w:p w:rsidR="00A15F23" w:rsidRPr="00A80DC4" w:rsidRDefault="00A15F23" w:rsidP="00517A7E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</w:t>
            </w:r>
            <w:r w:rsidR="00772B76">
              <w:rPr>
                <w:rFonts w:ascii="Times New Roman" w:hAnsi="Times New Roman"/>
              </w:rPr>
              <w:t xml:space="preserve">7 Efektivní využívání ICT </w:t>
            </w:r>
            <w:r w:rsidR="00517A7E">
              <w:rPr>
                <w:rFonts w:ascii="Times New Roman" w:hAnsi="Times New Roman"/>
              </w:rPr>
              <w:t xml:space="preserve">a AI </w:t>
            </w:r>
            <w:r w:rsidR="00772B76">
              <w:rPr>
                <w:rFonts w:ascii="Times New Roman" w:hAnsi="Times New Roman"/>
              </w:rPr>
              <w:t xml:space="preserve">ve výuce </w:t>
            </w:r>
          </w:p>
        </w:tc>
        <w:tc>
          <w:tcPr>
            <w:tcW w:w="3960" w:type="dxa"/>
            <w:vAlign w:val="center"/>
          </w:tcPr>
          <w:p w:rsidR="00A15F23" w:rsidRPr="00A80DC4" w:rsidRDefault="00772B76" w:rsidP="00772B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 vyučujících kybernetickou bezpečnost</w:t>
            </w:r>
          </w:p>
        </w:tc>
        <w:tc>
          <w:tcPr>
            <w:tcW w:w="1080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1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58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trHeight w:val="277"/>
          <w:jc w:val="center"/>
        </w:trPr>
        <w:tc>
          <w:tcPr>
            <w:tcW w:w="2808" w:type="dxa"/>
            <w:vMerge/>
            <w:vAlign w:val="center"/>
          </w:tcPr>
          <w:p w:rsidR="00A15F23" w:rsidRPr="00A80DC4" w:rsidRDefault="00A15F23" w:rsidP="00BB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 využívajících ve výuce AI</w:t>
            </w:r>
          </w:p>
        </w:tc>
        <w:tc>
          <w:tcPr>
            <w:tcW w:w="1080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58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A15F23" w:rsidRPr="00A80DC4" w:rsidTr="00BB0BC2">
        <w:trPr>
          <w:trHeight w:val="275"/>
          <w:jc w:val="center"/>
        </w:trPr>
        <w:tc>
          <w:tcPr>
            <w:tcW w:w="2808" w:type="dxa"/>
            <w:vAlign w:val="center"/>
          </w:tcPr>
          <w:p w:rsidR="00A15F23" w:rsidRPr="00A80DC4" w:rsidRDefault="00A15F23" w:rsidP="00772B76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</w:t>
            </w:r>
            <w:r w:rsidR="00772B76">
              <w:rPr>
                <w:rFonts w:ascii="Times New Roman" w:hAnsi="Times New Roman"/>
              </w:rPr>
              <w:t>8 Rovné příležitosti ve vzdělávání</w:t>
            </w:r>
          </w:p>
        </w:tc>
        <w:tc>
          <w:tcPr>
            <w:tcW w:w="3960" w:type="dxa"/>
            <w:vAlign w:val="center"/>
          </w:tcPr>
          <w:p w:rsidR="00A15F23" w:rsidRPr="00A80DC4" w:rsidRDefault="000F22C5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podpořených dětí a žáků při přístupu ke školním a mimoškolním aktivitám z Fondu pomoci olomouckým dětem</w:t>
            </w:r>
          </w:p>
        </w:tc>
        <w:tc>
          <w:tcPr>
            <w:tcW w:w="1080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91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58" w:type="dxa"/>
            <w:vAlign w:val="center"/>
          </w:tcPr>
          <w:p w:rsidR="00A15F23" w:rsidRPr="00A80DC4" w:rsidRDefault="00772B76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↔</w:t>
            </w:r>
          </w:p>
        </w:tc>
      </w:tr>
      <w:tr w:rsidR="002E7D91" w:rsidRPr="00A80DC4" w:rsidTr="00BB0BC2">
        <w:trPr>
          <w:jc w:val="center"/>
        </w:trPr>
        <w:tc>
          <w:tcPr>
            <w:tcW w:w="2808" w:type="dxa"/>
            <w:vMerge w:val="restart"/>
            <w:vAlign w:val="center"/>
          </w:tcPr>
          <w:p w:rsidR="002E7D91" w:rsidRPr="00A80DC4" w:rsidRDefault="002E7D91" w:rsidP="002E7D91">
            <w:pPr>
              <w:spacing w:after="0" w:line="240" w:lineRule="auto"/>
              <w:rPr>
                <w:rFonts w:ascii="Times New Roman" w:hAnsi="Times New Roman"/>
              </w:rPr>
            </w:pPr>
            <w:r w:rsidRPr="00A80DC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9 Zdravé stravování</w:t>
            </w:r>
          </w:p>
        </w:tc>
        <w:tc>
          <w:tcPr>
            <w:tcW w:w="3960" w:type="dxa"/>
            <w:vAlign w:val="center"/>
          </w:tcPr>
          <w:p w:rsidR="002E7D91" w:rsidRPr="00A80DC4" w:rsidRDefault="002E7D91" w:rsidP="00BB0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školních jídelen využívajících regionálních potravin</w:t>
            </w:r>
          </w:p>
        </w:tc>
        <w:tc>
          <w:tcPr>
            <w:tcW w:w="1080" w:type="dxa"/>
            <w:vAlign w:val="center"/>
          </w:tcPr>
          <w:p w:rsidR="002E7D91" w:rsidRPr="00A80DC4" w:rsidRDefault="004465B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1" w:type="dxa"/>
            <w:vAlign w:val="center"/>
          </w:tcPr>
          <w:p w:rsidR="002E7D91" w:rsidRPr="00A80DC4" w:rsidRDefault="004465B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58" w:type="dxa"/>
            <w:vAlign w:val="center"/>
          </w:tcPr>
          <w:p w:rsidR="002E7D91" w:rsidRPr="00A80DC4" w:rsidRDefault="004465B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2E7D91" w:rsidRPr="00A80DC4" w:rsidTr="00BB0BC2">
        <w:trPr>
          <w:jc w:val="center"/>
        </w:trPr>
        <w:tc>
          <w:tcPr>
            <w:tcW w:w="2808" w:type="dxa"/>
            <w:vMerge/>
            <w:vAlign w:val="center"/>
          </w:tcPr>
          <w:p w:rsidR="002E7D91" w:rsidRPr="00A80DC4" w:rsidRDefault="002E7D91" w:rsidP="002E7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:rsidR="002E7D91" w:rsidRDefault="002E7D91" w:rsidP="00BB0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školních jídelen připravujících dietní stravování</w:t>
            </w:r>
          </w:p>
        </w:tc>
        <w:tc>
          <w:tcPr>
            <w:tcW w:w="1080" w:type="dxa"/>
            <w:vAlign w:val="center"/>
          </w:tcPr>
          <w:p w:rsidR="002E7D91" w:rsidRDefault="004465B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91" w:type="dxa"/>
            <w:vAlign w:val="center"/>
          </w:tcPr>
          <w:p w:rsidR="002E7D91" w:rsidRDefault="004465B8" w:rsidP="00BB0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8" w:type="dxa"/>
            <w:vAlign w:val="center"/>
          </w:tcPr>
          <w:p w:rsidR="002E7D91" w:rsidRDefault="004465B8" w:rsidP="00BB0B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↔</w:t>
            </w:r>
          </w:p>
        </w:tc>
      </w:tr>
    </w:tbl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D91" w:rsidRDefault="002E7D91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84" w:rsidRDefault="00A40384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84" w:rsidRDefault="00A40384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84" w:rsidRDefault="00A40384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84" w:rsidRDefault="00A40384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3960"/>
        <w:gridCol w:w="1080"/>
        <w:gridCol w:w="1191"/>
        <w:gridCol w:w="1158"/>
      </w:tblGrid>
      <w:tr w:rsidR="002E7D91" w:rsidRPr="00A80DC4" w:rsidTr="000D1897">
        <w:trPr>
          <w:trHeight w:val="405"/>
          <w:tblHeader/>
          <w:jc w:val="center"/>
        </w:trPr>
        <w:tc>
          <w:tcPr>
            <w:tcW w:w="2808" w:type="dxa"/>
            <w:vMerge w:val="restart"/>
            <w:shd w:val="clear" w:color="auto" w:fill="C6D9F1" w:themeFill="text2" w:themeFillTint="33"/>
            <w:vAlign w:val="center"/>
          </w:tcPr>
          <w:p w:rsidR="002E7D91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Strategický cíl</w:t>
            </w:r>
          </w:p>
          <w:p w:rsidR="002E7D91" w:rsidRPr="00A80DC4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Opatření</w:t>
            </w:r>
          </w:p>
        </w:tc>
        <w:tc>
          <w:tcPr>
            <w:tcW w:w="3960" w:type="dxa"/>
            <w:vMerge w:val="restart"/>
            <w:shd w:val="clear" w:color="auto" w:fill="C6D9F1" w:themeFill="text2" w:themeFillTint="33"/>
            <w:vAlign w:val="center"/>
          </w:tcPr>
          <w:p w:rsidR="002E7D91" w:rsidRPr="00A80DC4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Monitorovací indikátor</w:t>
            </w:r>
          </w:p>
        </w:tc>
        <w:tc>
          <w:tcPr>
            <w:tcW w:w="3429" w:type="dxa"/>
            <w:gridSpan w:val="3"/>
            <w:shd w:val="clear" w:color="auto" w:fill="C6D9F1" w:themeFill="text2" w:themeFillTint="33"/>
            <w:vAlign w:val="center"/>
          </w:tcPr>
          <w:p w:rsidR="002E7D91" w:rsidRPr="00A80DC4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Hodnota</w:t>
            </w:r>
          </w:p>
        </w:tc>
      </w:tr>
      <w:tr w:rsidR="002E7D91" w:rsidRPr="00A80DC4" w:rsidTr="000D1897">
        <w:trPr>
          <w:trHeight w:val="405"/>
          <w:tblHeader/>
          <w:jc w:val="center"/>
        </w:trPr>
        <w:tc>
          <w:tcPr>
            <w:tcW w:w="2808" w:type="dxa"/>
            <w:vMerge/>
            <w:shd w:val="clear" w:color="auto" w:fill="C6D9F1" w:themeFill="text2" w:themeFillTint="33"/>
            <w:vAlign w:val="center"/>
          </w:tcPr>
          <w:p w:rsidR="002E7D91" w:rsidRPr="00A80DC4" w:rsidDel="0013451E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0" w:type="dxa"/>
            <w:vMerge/>
            <w:shd w:val="clear" w:color="auto" w:fill="C6D9F1" w:themeFill="text2" w:themeFillTint="33"/>
            <w:vAlign w:val="center"/>
          </w:tcPr>
          <w:p w:rsidR="002E7D91" w:rsidRPr="00A80DC4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:rsidR="002E7D91" w:rsidRPr="00A80DC4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Výchozí stav (20</w:t>
            </w:r>
            <w:r>
              <w:rPr>
                <w:rFonts w:ascii="Times New Roman" w:hAnsi="Times New Roman"/>
                <w:b/>
                <w:i/>
              </w:rPr>
              <w:t>26</w:t>
            </w:r>
            <w:r w:rsidRPr="00A80DC4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91" w:type="dxa"/>
            <w:shd w:val="clear" w:color="auto" w:fill="C6D9F1" w:themeFill="text2" w:themeFillTint="33"/>
            <w:vAlign w:val="center"/>
          </w:tcPr>
          <w:p w:rsidR="002E7D91" w:rsidRPr="00A80DC4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Cílový stav (2030)</w:t>
            </w:r>
          </w:p>
        </w:tc>
        <w:tc>
          <w:tcPr>
            <w:tcW w:w="1158" w:type="dxa"/>
            <w:shd w:val="clear" w:color="auto" w:fill="C6D9F1" w:themeFill="text2" w:themeFillTint="33"/>
            <w:vAlign w:val="center"/>
          </w:tcPr>
          <w:p w:rsidR="002E7D91" w:rsidRPr="00A80DC4" w:rsidRDefault="002E7D9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Optimální směr</w:t>
            </w:r>
          </w:p>
        </w:tc>
      </w:tr>
      <w:tr w:rsidR="002E7D91" w:rsidRPr="00A80DC4" w:rsidTr="00902781">
        <w:trPr>
          <w:jc w:val="center"/>
        </w:trPr>
        <w:tc>
          <w:tcPr>
            <w:tcW w:w="10197" w:type="dxa"/>
            <w:gridSpan w:val="5"/>
            <w:vAlign w:val="center"/>
          </w:tcPr>
          <w:p w:rsidR="002E7D91" w:rsidRPr="00A80DC4" w:rsidRDefault="002E7D91" w:rsidP="002E7D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Pr="00921F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Infrastruktura škol a vybavení</w:t>
            </w:r>
          </w:p>
        </w:tc>
      </w:tr>
      <w:tr w:rsidR="002E7D91" w:rsidRPr="00A80DC4" w:rsidTr="00902781">
        <w:trPr>
          <w:jc w:val="center"/>
        </w:trPr>
        <w:tc>
          <w:tcPr>
            <w:tcW w:w="2808" w:type="dxa"/>
            <w:vAlign w:val="center"/>
          </w:tcPr>
          <w:p w:rsidR="002E7D91" w:rsidRPr="00A80DC4" w:rsidRDefault="002E7D91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Podpora odborného vzdělávání ve vybavených učebnách</w:t>
            </w:r>
          </w:p>
        </w:tc>
        <w:tc>
          <w:tcPr>
            <w:tcW w:w="3960" w:type="dxa"/>
            <w:vAlign w:val="center"/>
          </w:tcPr>
          <w:p w:rsidR="002E7D91" w:rsidRPr="00EF042A" w:rsidRDefault="002E7D91" w:rsidP="0090278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vybudovaných odborných učeben v základních a mateřských školách</w:t>
            </w:r>
          </w:p>
        </w:tc>
        <w:tc>
          <w:tcPr>
            <w:tcW w:w="1080" w:type="dxa"/>
            <w:vAlign w:val="center"/>
          </w:tcPr>
          <w:p w:rsidR="002E7D91" w:rsidRPr="007730A8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91" w:type="dxa"/>
            <w:vAlign w:val="center"/>
          </w:tcPr>
          <w:p w:rsidR="002E7D91" w:rsidRPr="007730A8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58" w:type="dxa"/>
            <w:vAlign w:val="center"/>
          </w:tcPr>
          <w:p w:rsidR="002E7D9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902781" w:rsidRPr="00A80DC4" w:rsidTr="00902781">
        <w:trPr>
          <w:jc w:val="center"/>
        </w:trPr>
        <w:tc>
          <w:tcPr>
            <w:tcW w:w="2808" w:type="dxa"/>
            <w:vMerge w:val="restart"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Výstavba, rekonstrukce a modernizace sportovních hřišť a tělocvičen</w:t>
            </w:r>
          </w:p>
        </w:tc>
        <w:tc>
          <w:tcPr>
            <w:tcW w:w="3960" w:type="dxa"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rekonstruovaných dětských a sportovních hřišť v MŠ a ZŠ</w:t>
            </w:r>
          </w:p>
        </w:tc>
        <w:tc>
          <w:tcPr>
            <w:tcW w:w="1080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91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8" w:type="dxa"/>
            <w:vAlign w:val="center"/>
          </w:tcPr>
          <w:p w:rsidR="00902781" w:rsidRPr="00307287" w:rsidRDefault="00902781" w:rsidP="00902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902781" w:rsidRPr="00A80DC4" w:rsidTr="00902781">
        <w:trPr>
          <w:jc w:val="center"/>
        </w:trPr>
        <w:tc>
          <w:tcPr>
            <w:tcW w:w="2808" w:type="dxa"/>
            <w:vMerge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rekonstruovaných tělocvičen</w:t>
            </w:r>
          </w:p>
        </w:tc>
        <w:tc>
          <w:tcPr>
            <w:tcW w:w="1080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91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8" w:type="dxa"/>
            <w:vAlign w:val="center"/>
          </w:tcPr>
          <w:p w:rsidR="00902781" w:rsidRPr="00307287" w:rsidRDefault="00902781" w:rsidP="00902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902781" w:rsidRPr="00A80DC4" w:rsidTr="00902781">
        <w:trPr>
          <w:jc w:val="center"/>
        </w:trPr>
        <w:tc>
          <w:tcPr>
            <w:tcW w:w="2808" w:type="dxa"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 Energetická opatření</w:t>
            </w:r>
          </w:p>
        </w:tc>
        <w:tc>
          <w:tcPr>
            <w:tcW w:w="3960" w:type="dxa"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budov mateřských a základních škol, na kterých byla realizována energetická opatření</w:t>
            </w:r>
          </w:p>
        </w:tc>
        <w:tc>
          <w:tcPr>
            <w:tcW w:w="1080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1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58" w:type="dxa"/>
            <w:vAlign w:val="center"/>
          </w:tcPr>
          <w:p w:rsidR="00902781" w:rsidRPr="00307287" w:rsidRDefault="00902781" w:rsidP="00902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902781" w:rsidRPr="00A80DC4" w:rsidTr="00902781">
        <w:trPr>
          <w:jc w:val="center"/>
        </w:trPr>
        <w:tc>
          <w:tcPr>
            <w:tcW w:w="2808" w:type="dxa"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 Obnova a rozvoj materiálně-technického zázemí škol a školských zařízení</w:t>
            </w:r>
          </w:p>
        </w:tc>
        <w:tc>
          <w:tcPr>
            <w:tcW w:w="3960" w:type="dxa"/>
            <w:vAlign w:val="center"/>
          </w:tcPr>
          <w:p w:rsidR="00902781" w:rsidRDefault="00902781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základních škol s novou nebo rozšířenou knihovnou, modernizovanými kabinety a počet relaxačních a odpočinkových prostor</w:t>
            </w:r>
          </w:p>
        </w:tc>
        <w:tc>
          <w:tcPr>
            <w:tcW w:w="1080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91" w:type="dxa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58" w:type="dxa"/>
            <w:vAlign w:val="center"/>
          </w:tcPr>
          <w:p w:rsidR="00902781" w:rsidRPr="00307287" w:rsidRDefault="00902781" w:rsidP="00902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</w:tbl>
    <w:p w:rsidR="002E7D91" w:rsidRDefault="002E7D91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3960"/>
        <w:gridCol w:w="1080"/>
        <w:gridCol w:w="63"/>
        <w:gridCol w:w="1128"/>
        <w:gridCol w:w="15"/>
        <w:gridCol w:w="1143"/>
      </w:tblGrid>
      <w:tr w:rsidR="00902781" w:rsidRPr="00A80DC4" w:rsidTr="000D1897">
        <w:trPr>
          <w:trHeight w:val="405"/>
          <w:tblHeader/>
          <w:jc w:val="center"/>
        </w:trPr>
        <w:tc>
          <w:tcPr>
            <w:tcW w:w="2808" w:type="dxa"/>
            <w:vMerge w:val="restart"/>
            <w:shd w:val="clear" w:color="auto" w:fill="C6D9F1" w:themeFill="text2" w:themeFillTint="33"/>
            <w:vAlign w:val="center"/>
          </w:tcPr>
          <w:p w:rsidR="00902781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Strategický cíl</w:t>
            </w:r>
          </w:p>
          <w:p w:rsidR="0090278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Opatření</w:t>
            </w:r>
          </w:p>
        </w:tc>
        <w:tc>
          <w:tcPr>
            <w:tcW w:w="3960" w:type="dxa"/>
            <w:vMerge w:val="restart"/>
            <w:shd w:val="clear" w:color="auto" w:fill="C6D9F1" w:themeFill="text2" w:themeFillTint="33"/>
            <w:vAlign w:val="center"/>
          </w:tcPr>
          <w:p w:rsidR="0090278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Monitorovací indikátor</w:t>
            </w:r>
          </w:p>
        </w:tc>
        <w:tc>
          <w:tcPr>
            <w:tcW w:w="3429" w:type="dxa"/>
            <w:gridSpan w:val="5"/>
            <w:shd w:val="clear" w:color="auto" w:fill="C6D9F1" w:themeFill="text2" w:themeFillTint="33"/>
            <w:vAlign w:val="center"/>
          </w:tcPr>
          <w:p w:rsidR="0090278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Hodnota</w:t>
            </w:r>
          </w:p>
        </w:tc>
      </w:tr>
      <w:tr w:rsidR="00902781" w:rsidRPr="00A80DC4" w:rsidTr="000D1897">
        <w:trPr>
          <w:trHeight w:val="405"/>
          <w:tblHeader/>
          <w:jc w:val="center"/>
        </w:trPr>
        <w:tc>
          <w:tcPr>
            <w:tcW w:w="2808" w:type="dxa"/>
            <w:vMerge/>
            <w:shd w:val="clear" w:color="auto" w:fill="C6D9F1" w:themeFill="text2" w:themeFillTint="33"/>
            <w:vAlign w:val="center"/>
          </w:tcPr>
          <w:p w:rsidR="00902781" w:rsidRPr="00A80DC4" w:rsidDel="0013451E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0" w:type="dxa"/>
            <w:vMerge/>
            <w:shd w:val="clear" w:color="auto" w:fill="C6D9F1" w:themeFill="text2" w:themeFillTint="33"/>
            <w:vAlign w:val="center"/>
          </w:tcPr>
          <w:p w:rsidR="0090278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:rsidR="0090278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DC4">
              <w:rPr>
                <w:rFonts w:ascii="Times New Roman" w:hAnsi="Times New Roman"/>
                <w:b/>
                <w:i/>
              </w:rPr>
              <w:t>Výchozí stav (20</w:t>
            </w:r>
            <w:r>
              <w:rPr>
                <w:rFonts w:ascii="Times New Roman" w:hAnsi="Times New Roman"/>
                <w:b/>
                <w:i/>
              </w:rPr>
              <w:t>26</w:t>
            </w:r>
            <w:r w:rsidRPr="00A80DC4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91" w:type="dxa"/>
            <w:gridSpan w:val="2"/>
            <w:shd w:val="clear" w:color="auto" w:fill="C6D9F1" w:themeFill="text2" w:themeFillTint="33"/>
            <w:vAlign w:val="center"/>
          </w:tcPr>
          <w:p w:rsidR="0090278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Cílový stav (2030)</w:t>
            </w:r>
          </w:p>
        </w:tc>
        <w:tc>
          <w:tcPr>
            <w:tcW w:w="1158" w:type="dxa"/>
            <w:gridSpan w:val="2"/>
            <w:shd w:val="clear" w:color="auto" w:fill="C6D9F1" w:themeFill="text2" w:themeFillTint="33"/>
            <w:vAlign w:val="center"/>
          </w:tcPr>
          <w:p w:rsidR="00902781" w:rsidRPr="00A80DC4" w:rsidRDefault="00902781" w:rsidP="009027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Optimální směr</w:t>
            </w:r>
          </w:p>
        </w:tc>
      </w:tr>
      <w:tr w:rsidR="00902781" w:rsidRPr="00A80DC4" w:rsidTr="00902781">
        <w:trPr>
          <w:jc w:val="center"/>
        </w:trPr>
        <w:tc>
          <w:tcPr>
            <w:tcW w:w="10197" w:type="dxa"/>
            <w:gridSpan w:val="7"/>
            <w:vAlign w:val="center"/>
          </w:tcPr>
          <w:p w:rsidR="00902781" w:rsidRPr="00A80DC4" w:rsidRDefault="004C3D82" w:rsidP="0090278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 Efektivní systém řízení olomouckého školství</w:t>
            </w:r>
          </w:p>
        </w:tc>
      </w:tr>
      <w:tr w:rsidR="00902781" w:rsidRPr="00A80DC4" w:rsidTr="00902781">
        <w:trPr>
          <w:jc w:val="center"/>
        </w:trPr>
        <w:tc>
          <w:tcPr>
            <w:tcW w:w="2808" w:type="dxa"/>
            <w:vAlign w:val="center"/>
          </w:tcPr>
          <w:p w:rsidR="00902781" w:rsidRPr="00A80DC4" w:rsidRDefault="004C3D82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Spolupráce ZŠ, MŠ, zřizovatele a jiných institucí, přenos dobré praxe</w:t>
            </w:r>
          </w:p>
        </w:tc>
        <w:tc>
          <w:tcPr>
            <w:tcW w:w="3960" w:type="dxa"/>
            <w:vAlign w:val="center"/>
          </w:tcPr>
          <w:p w:rsidR="00902781" w:rsidRPr="00EF042A" w:rsidRDefault="004C3D82" w:rsidP="0090278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aktivit spolupráce</w:t>
            </w:r>
          </w:p>
        </w:tc>
        <w:tc>
          <w:tcPr>
            <w:tcW w:w="1080" w:type="dxa"/>
            <w:vAlign w:val="center"/>
          </w:tcPr>
          <w:p w:rsidR="00902781" w:rsidRPr="007730A8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91" w:type="dxa"/>
            <w:gridSpan w:val="2"/>
            <w:vAlign w:val="center"/>
          </w:tcPr>
          <w:p w:rsidR="00902781" w:rsidRPr="007730A8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58" w:type="dxa"/>
            <w:gridSpan w:val="2"/>
            <w:vAlign w:val="center"/>
          </w:tcPr>
          <w:p w:rsidR="00902781" w:rsidRPr="00A80DC4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4C3D82" w:rsidRPr="00A80DC4" w:rsidTr="004465B8">
        <w:trPr>
          <w:jc w:val="center"/>
        </w:trPr>
        <w:tc>
          <w:tcPr>
            <w:tcW w:w="2808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 Práce s kapacitami ZŠ a MŠ</w:t>
            </w:r>
          </w:p>
        </w:tc>
        <w:tc>
          <w:tcPr>
            <w:tcW w:w="3960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Kapacita mateřských a základních škol, kapacita MŠ a ZŠ jiných zřizovatelů</w:t>
            </w:r>
          </w:p>
        </w:tc>
        <w:tc>
          <w:tcPr>
            <w:tcW w:w="3429" w:type="dxa"/>
            <w:gridSpan w:val="5"/>
            <w:vAlign w:val="center"/>
          </w:tcPr>
          <w:p w:rsidR="004C3D82" w:rsidRPr="00A80DC4" w:rsidRDefault="004C3D82" w:rsidP="0090278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průběžné sledování a vyhodnocování</w:t>
            </w:r>
          </w:p>
        </w:tc>
      </w:tr>
      <w:tr w:rsidR="004C3D82" w:rsidRPr="00A80DC4" w:rsidTr="004465B8">
        <w:trPr>
          <w:jc w:val="center"/>
        </w:trPr>
        <w:tc>
          <w:tcPr>
            <w:tcW w:w="2808" w:type="dxa"/>
            <w:vMerge w:val="restart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 Nabídka vzdělávání v Olomouci</w:t>
            </w:r>
          </w:p>
        </w:tc>
        <w:tc>
          <w:tcPr>
            <w:tcW w:w="3960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Internetový portál školství, komunikační platforma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4C3D82" w:rsidRPr="00A80DC4" w:rsidTr="004465B8">
        <w:trPr>
          <w:jc w:val="center"/>
        </w:trPr>
        <w:tc>
          <w:tcPr>
            <w:tcW w:w="2808" w:type="dxa"/>
            <w:vMerge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tří</w:t>
            </w:r>
            <w:r w:rsidR="00517A7E">
              <w:rPr>
                <w:rFonts w:ascii="Times New Roman" w:hAnsi="Times New Roman"/>
                <w:sz w:val="24"/>
                <w:szCs w:val="24"/>
              </w:rPr>
              <w:t>d s rozšířenou výukou předmětů/</w:t>
            </w:r>
            <w:r>
              <w:rPr>
                <w:rFonts w:ascii="Times New Roman" w:hAnsi="Times New Roman"/>
                <w:sz w:val="24"/>
                <w:szCs w:val="24"/>
              </w:rPr>
              <w:t>počet žáků ZŠ Začít spolu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5/43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10/60</w:t>
            </w:r>
          </w:p>
        </w:tc>
        <w:tc>
          <w:tcPr>
            <w:tcW w:w="1143" w:type="dxa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  <w:tr w:rsidR="004C3D82" w:rsidRPr="00A80DC4" w:rsidTr="004465B8">
        <w:trPr>
          <w:jc w:val="center"/>
        </w:trPr>
        <w:tc>
          <w:tcPr>
            <w:tcW w:w="2808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 Podpora a rozvoj ředitele</w:t>
            </w:r>
            <w:r w:rsidR="00517A7E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 a ředitelů ZŠ a MŠ</w:t>
            </w:r>
          </w:p>
        </w:tc>
        <w:tc>
          <w:tcPr>
            <w:tcW w:w="3960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setkání ředitelů základních a mateřských škol a zřizovatele</w:t>
            </w:r>
            <w:r w:rsidR="00517A7E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3" w:type="dxa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↔</w:t>
            </w:r>
          </w:p>
        </w:tc>
      </w:tr>
      <w:tr w:rsidR="004C3D82" w:rsidRPr="00A80DC4" w:rsidTr="004465B8">
        <w:trPr>
          <w:jc w:val="center"/>
        </w:trPr>
        <w:tc>
          <w:tcPr>
            <w:tcW w:w="2808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 Komunitní škola</w:t>
            </w:r>
          </w:p>
        </w:tc>
        <w:tc>
          <w:tcPr>
            <w:tcW w:w="3960" w:type="dxa"/>
            <w:vAlign w:val="center"/>
          </w:tcPr>
          <w:p w:rsidR="004C3D82" w:rsidRDefault="004C3D82" w:rsidP="0090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volno</w:t>
            </w:r>
            <w:r w:rsidR="00517A7E">
              <w:rPr>
                <w:rFonts w:ascii="Times New Roman" w:hAnsi="Times New Roman"/>
                <w:sz w:val="24"/>
                <w:szCs w:val="24"/>
              </w:rPr>
              <w:t>časových aktivit pro veřejnost/</w:t>
            </w:r>
            <w:r>
              <w:rPr>
                <w:rFonts w:ascii="Times New Roman" w:hAnsi="Times New Roman"/>
                <w:sz w:val="24"/>
                <w:szCs w:val="24"/>
              </w:rPr>
              <w:t>počet vzdělávacích aktivit pro veřejnost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8/2</w:t>
            </w:r>
          </w:p>
        </w:tc>
        <w:tc>
          <w:tcPr>
            <w:tcW w:w="1143" w:type="dxa"/>
            <w:gridSpan w:val="2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15/10</w:t>
            </w:r>
          </w:p>
        </w:tc>
        <w:tc>
          <w:tcPr>
            <w:tcW w:w="1143" w:type="dxa"/>
            <w:vAlign w:val="center"/>
          </w:tcPr>
          <w:p w:rsidR="004C3D82" w:rsidRDefault="004465B8" w:rsidP="00902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</w:tr>
    </w:tbl>
    <w:p w:rsidR="00902781" w:rsidRDefault="00902781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D91" w:rsidRDefault="002E7D91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D91" w:rsidRDefault="002E7D91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3685"/>
      </w:tblGrid>
      <w:tr w:rsidR="00A15F23" w:rsidTr="00072012">
        <w:tc>
          <w:tcPr>
            <w:tcW w:w="2235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A15F23" w:rsidRPr="00307287" w:rsidRDefault="00A15F23" w:rsidP="00BB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87">
              <w:rPr>
                <w:rFonts w:ascii="Times New Roman" w:hAnsi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A15F23" w:rsidRPr="00307287" w:rsidRDefault="00A15F23" w:rsidP="00BB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87">
              <w:rPr>
                <w:rFonts w:ascii="Times New Roman" w:hAnsi="Times New Roman"/>
                <w:b/>
                <w:sz w:val="24"/>
                <w:szCs w:val="24"/>
              </w:rPr>
              <w:t>vysvětlení symbolu</w:t>
            </w:r>
          </w:p>
        </w:tc>
      </w:tr>
      <w:tr w:rsidR="00A15F23" w:rsidTr="00BB0BC2">
        <w:tc>
          <w:tcPr>
            <w:tcW w:w="2235" w:type="dxa"/>
            <w:tcBorders>
              <w:top w:val="double" w:sz="4" w:space="0" w:color="auto"/>
            </w:tcBorders>
          </w:tcPr>
          <w:p w:rsidR="00A15F23" w:rsidRPr="00307287" w:rsidRDefault="00A15F23" w:rsidP="00BB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87">
              <w:rPr>
                <w:rFonts w:ascii="Arial" w:hAnsi="Arial" w:cs="Arial"/>
                <w:b/>
                <w:sz w:val="24"/>
                <w:szCs w:val="24"/>
              </w:rPr>
              <w:t>↑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A15F23" w:rsidRDefault="00A15F23" w:rsidP="00BB0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vzrůstající tendence</w:t>
            </w:r>
          </w:p>
        </w:tc>
      </w:tr>
      <w:tr w:rsidR="00A15F23" w:rsidTr="00BB0BC2">
        <w:tc>
          <w:tcPr>
            <w:tcW w:w="2235" w:type="dxa"/>
          </w:tcPr>
          <w:p w:rsidR="00A15F23" w:rsidRPr="00307287" w:rsidRDefault="00A15F23" w:rsidP="00BB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</w:p>
        </w:tc>
        <w:tc>
          <w:tcPr>
            <w:tcW w:w="3685" w:type="dxa"/>
          </w:tcPr>
          <w:p w:rsidR="00A15F23" w:rsidRDefault="00A15F23" w:rsidP="00BB0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klesající tendence</w:t>
            </w:r>
          </w:p>
        </w:tc>
      </w:tr>
      <w:tr w:rsidR="00A15F23" w:rsidTr="00BB0BC2">
        <w:tc>
          <w:tcPr>
            <w:tcW w:w="2235" w:type="dxa"/>
          </w:tcPr>
          <w:p w:rsidR="00A15F23" w:rsidRPr="00307287" w:rsidRDefault="00A15F23" w:rsidP="00BB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↔</w:t>
            </w:r>
          </w:p>
        </w:tc>
        <w:tc>
          <w:tcPr>
            <w:tcW w:w="3685" w:type="dxa"/>
          </w:tcPr>
          <w:p w:rsidR="00A15F23" w:rsidRDefault="00A15F23" w:rsidP="00772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udržet </w:t>
            </w:r>
            <w:r w:rsidR="00772B76">
              <w:rPr>
                <w:rFonts w:ascii="Times New Roman" w:hAnsi="Times New Roman"/>
                <w:sz w:val="24"/>
                <w:szCs w:val="24"/>
              </w:rPr>
              <w:t>plánovanou hodnotu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23" w:rsidTr="00BB0BC2">
        <w:tc>
          <w:tcPr>
            <w:tcW w:w="2235" w:type="dxa"/>
          </w:tcPr>
          <w:p w:rsidR="00A15F23" w:rsidRPr="00307287" w:rsidRDefault="00A15F23" w:rsidP="00BB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╧</w:t>
            </w:r>
          </w:p>
        </w:tc>
        <w:tc>
          <w:tcPr>
            <w:tcW w:w="3685" w:type="dxa"/>
          </w:tcPr>
          <w:p w:rsidR="00A15F23" w:rsidRDefault="00A15F23" w:rsidP="00BB0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nepoklesnou pod stanovenou mez</w:t>
            </w:r>
          </w:p>
        </w:tc>
      </w:tr>
      <w:tr w:rsidR="00A15F23" w:rsidTr="00BB0BC2">
        <w:tc>
          <w:tcPr>
            <w:tcW w:w="2235" w:type="dxa"/>
          </w:tcPr>
          <w:p w:rsidR="00A15F23" w:rsidRPr="00307287" w:rsidRDefault="00A15F23" w:rsidP="00BB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87">
              <w:rPr>
                <w:rFonts w:ascii="Times New Roman" w:hAnsi="Times New Roman" w:cs="Times New Roman"/>
                <w:b/>
                <w:sz w:val="24"/>
                <w:szCs w:val="24"/>
              </w:rPr>
              <w:t>╤</w:t>
            </w:r>
          </w:p>
        </w:tc>
        <w:tc>
          <w:tcPr>
            <w:tcW w:w="3685" w:type="dxa"/>
          </w:tcPr>
          <w:p w:rsidR="00A15F23" w:rsidRDefault="00A15F23" w:rsidP="00BB0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nepřekročit stanovenou mez</w:t>
            </w:r>
          </w:p>
        </w:tc>
      </w:tr>
    </w:tbl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pStyle w:val="Odstavecseseznamem"/>
        <w:numPr>
          <w:ilvl w:val="1"/>
          <w:numId w:val="2"/>
        </w:numPr>
        <w:spacing w:after="160" w:line="259" w:lineRule="auto"/>
        <w:ind w:left="709" w:hanging="709"/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  <w:lang w:eastAsia="cs-CZ"/>
        </w:rPr>
        <w:t>Plán řízení rizik</w:t>
      </w:r>
    </w:p>
    <w:p w:rsidR="00A15F23" w:rsidRPr="00F06061" w:rsidRDefault="00A15F23" w:rsidP="00A15F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6061">
        <w:rPr>
          <w:rFonts w:ascii="Times New Roman" w:hAnsi="Times New Roman"/>
          <w:b/>
          <w:sz w:val="24"/>
          <w:szCs w:val="24"/>
        </w:rPr>
        <w:t>Každá lidská činnost přináší rizika, nulové riziko neexistuje</w:t>
      </w:r>
      <w:r w:rsidRPr="00F06061">
        <w:rPr>
          <w:rFonts w:ascii="Times New Roman" w:hAnsi="Times New Roman"/>
          <w:sz w:val="24"/>
          <w:szCs w:val="24"/>
        </w:rPr>
        <w:t xml:space="preserve">. </w:t>
      </w:r>
    </w:p>
    <w:p w:rsidR="00A15F23" w:rsidRPr="00A15F23" w:rsidRDefault="00A15F23" w:rsidP="00A15F23">
      <w:pPr>
        <w:pStyle w:val="Normlnweb"/>
        <w:spacing w:after="0"/>
        <w:jc w:val="both"/>
      </w:pPr>
      <w:r>
        <w:t>Riziko je všudy přítomným a charakteristickým průvodním jevem fungování organizací v soudobém </w:t>
      </w:r>
      <w:hyperlink r:id="rId8" w:tooltip="Turbulence" w:history="1">
        <w:r w:rsidRPr="00A15F23">
          <w:rPr>
            <w:rStyle w:val="Hypertextovodkaz"/>
            <w:rFonts w:eastAsiaTheme="majorEastAsia"/>
            <w:color w:val="auto"/>
          </w:rPr>
          <w:t>turbulentním prostředí</w:t>
        </w:r>
      </w:hyperlink>
      <w:r w:rsidRPr="00A15F23">
        <w:rPr>
          <w:rStyle w:val="Hypertextovodkaz"/>
          <w:rFonts w:eastAsiaTheme="majorEastAsia"/>
          <w:color w:val="auto"/>
        </w:rPr>
        <w:t>. Riziko je nebezpečí vzniku události, která může negativně ovlivnit dosažení stanovených cílů. Jedná se o budoucí tzv. rizikovou událost, která má náhodnou povahu – může, ale nemusí nastat a mít negativní dopad.</w:t>
      </w:r>
      <w:r w:rsidRPr="00A15F23">
        <w:rPr>
          <w:rStyle w:val="Znakapoznpodarou"/>
        </w:rPr>
        <w:footnoteReference w:id="1"/>
      </w:r>
    </w:p>
    <w:p w:rsidR="00A15F23" w:rsidRDefault="00A15F23" w:rsidP="00A15F23">
      <w:pPr>
        <w:pStyle w:val="Normlnweb"/>
        <w:spacing w:after="0"/>
        <w:jc w:val="both"/>
      </w:pPr>
      <w:r w:rsidRPr="00AE1843">
        <w:rPr>
          <w:rStyle w:val="Siln"/>
          <w:rFonts w:eastAsiaTheme="majorEastAsia"/>
        </w:rPr>
        <w:t>Účelem řízení rizik</w:t>
      </w:r>
      <w:r>
        <w:t xml:space="preserve"> je předejít problémům nebo negativním jevům, které ohrožují naplňování cílů Koncepce rozvoje školství. </w:t>
      </w:r>
    </w:p>
    <w:p w:rsidR="00A15F23" w:rsidRDefault="00A15F23" w:rsidP="00A15F23">
      <w:pPr>
        <w:pStyle w:val="Normlnweb"/>
        <w:spacing w:after="0"/>
        <w:jc w:val="both"/>
      </w:pPr>
      <w:r>
        <w:t>Rizika jsou rozdělena do 4 hlavních skupin:</w:t>
      </w:r>
    </w:p>
    <w:p w:rsidR="00A15F23" w:rsidRDefault="00A15F23" w:rsidP="00A15F23">
      <w:pPr>
        <w:pStyle w:val="Normlnweb"/>
        <w:numPr>
          <w:ilvl w:val="0"/>
          <w:numId w:val="3"/>
        </w:numPr>
        <w:spacing w:after="0" w:line="240" w:lineRule="auto"/>
        <w:jc w:val="both"/>
      </w:pPr>
      <w:r>
        <w:t>finanční riziko,</w:t>
      </w:r>
    </w:p>
    <w:p w:rsidR="00A15F23" w:rsidRDefault="00A15F23" w:rsidP="00A15F23">
      <w:pPr>
        <w:pStyle w:val="Normlnweb"/>
        <w:numPr>
          <w:ilvl w:val="0"/>
          <w:numId w:val="3"/>
        </w:numPr>
        <w:spacing w:after="0" w:line="240" w:lineRule="auto"/>
        <w:jc w:val="both"/>
      </w:pPr>
      <w:r>
        <w:t>organizační riziko,</w:t>
      </w:r>
    </w:p>
    <w:p w:rsidR="00A15F23" w:rsidRDefault="00A15F23" w:rsidP="00A15F23">
      <w:pPr>
        <w:pStyle w:val="Normlnweb"/>
        <w:numPr>
          <w:ilvl w:val="0"/>
          <w:numId w:val="3"/>
        </w:numPr>
        <w:spacing w:after="0" w:line="240" w:lineRule="auto"/>
        <w:jc w:val="both"/>
      </w:pPr>
      <w:r>
        <w:t>technická rizika,</w:t>
      </w:r>
    </w:p>
    <w:p w:rsidR="00A15F23" w:rsidRDefault="00A15F23" w:rsidP="00A15F23">
      <w:pPr>
        <w:pStyle w:val="Normlnweb"/>
        <w:numPr>
          <w:ilvl w:val="0"/>
          <w:numId w:val="3"/>
        </w:numPr>
        <w:spacing w:after="0" w:line="240" w:lineRule="auto"/>
        <w:jc w:val="both"/>
      </w:pPr>
      <w:r>
        <w:t>věcná rizika.</w:t>
      </w:r>
    </w:p>
    <w:p w:rsidR="00A15F23" w:rsidRDefault="00A15F23" w:rsidP="00A15F23">
      <w:pPr>
        <w:pStyle w:val="Normlnweb"/>
        <w:spacing w:after="0"/>
        <w:jc w:val="both"/>
      </w:pPr>
      <w:r>
        <w:t xml:space="preserve">Pravděpodobnost (frekvence) výskytu („P“) a intenzita (následky) dopadu („D“) jsou hodnoceny známkou na škále 1 až 5, přičemž hodnota 1 představuje velmi malou pravděpodobnost výskytu a velmi malé následky dopadu a hodnota 5 naopak velmi velkou pravděpodobnost výskytu a velmi velké následky dopadu. </w:t>
      </w:r>
      <w:r w:rsidRPr="00F06061">
        <w:rPr>
          <w:b/>
        </w:rPr>
        <w:t>Riziko s vyšším stupněm následků a nižší frekvencí výskytu je důležitější než riziko s nižším stupněm následků a vyšší frekvencí výskytu</w:t>
      </w:r>
      <w:r>
        <w:t>.</w:t>
      </w:r>
      <w:r>
        <w:rPr>
          <w:rStyle w:val="Znakapoznpodarou"/>
        </w:rPr>
        <w:footnoteReference w:id="2"/>
      </w:r>
    </w:p>
    <w:p w:rsidR="00A15F23" w:rsidRDefault="00A15F23" w:rsidP="00A15F23">
      <w:pPr>
        <w:pStyle w:val="Normlnweb"/>
        <w:spacing w:after="0"/>
        <w:jc w:val="both"/>
      </w:pPr>
      <w:r>
        <w:t xml:space="preserve">Škála 1 až 5 je běžně používané vyjádření míry výskytu a dopadu při hodnocení rizika. </w:t>
      </w:r>
    </w:p>
    <w:p w:rsidR="00A15F23" w:rsidRDefault="00A15F23" w:rsidP="00A15F23">
      <w:pPr>
        <w:pStyle w:val="Normlnweb"/>
        <w:spacing w:after="0"/>
        <w:jc w:val="both"/>
      </w:pPr>
      <w:r>
        <w:t>Významnost rizika vychází následně ze součinu hodnot pravděpodobnosti výskytu a míry dopadu rizika.</w:t>
      </w:r>
    </w:p>
    <w:p w:rsidR="00A15F23" w:rsidRDefault="00A15F23" w:rsidP="00A15F23">
      <w:pPr>
        <w:pStyle w:val="Normlnweb"/>
        <w:spacing w:after="0"/>
        <w:jc w:val="both"/>
      </w:pPr>
    </w:p>
    <w:p w:rsidR="00A15F23" w:rsidRPr="00F06061" w:rsidRDefault="00A15F23" w:rsidP="00A15F23">
      <w:pPr>
        <w:pStyle w:val="Normlnweb"/>
        <w:spacing w:after="0"/>
        <w:jc w:val="both"/>
        <w:rPr>
          <w:i/>
        </w:rPr>
      </w:pPr>
      <w:r w:rsidRPr="00F06061">
        <w:rPr>
          <w:i/>
        </w:rPr>
        <w:t>Tabulka rizik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662"/>
        <w:gridCol w:w="2838"/>
        <w:gridCol w:w="567"/>
        <w:gridCol w:w="560"/>
        <w:gridCol w:w="716"/>
        <w:gridCol w:w="3082"/>
      </w:tblGrid>
      <w:tr w:rsidR="00A15F23" w:rsidTr="001E3325">
        <w:tc>
          <w:tcPr>
            <w:tcW w:w="861" w:type="dxa"/>
            <w:shd w:val="clear" w:color="auto" w:fill="B8CCE4" w:themeFill="accent1" w:themeFillTint="66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i/>
                <w:sz w:val="20"/>
                <w:szCs w:val="20"/>
              </w:rPr>
            </w:pPr>
            <w:r w:rsidRPr="009E20B0">
              <w:rPr>
                <w:i/>
                <w:sz w:val="20"/>
                <w:szCs w:val="20"/>
              </w:rPr>
              <w:t>Skupina rizik</w:t>
            </w:r>
          </w:p>
        </w:tc>
        <w:tc>
          <w:tcPr>
            <w:tcW w:w="662" w:type="dxa"/>
            <w:shd w:val="clear" w:color="auto" w:fill="B8CCE4" w:themeFill="accent1" w:themeFillTint="66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Poř. č.</w:t>
            </w:r>
          </w:p>
        </w:tc>
        <w:tc>
          <w:tcPr>
            <w:tcW w:w="2838" w:type="dxa"/>
            <w:shd w:val="clear" w:color="auto" w:fill="B8CCE4" w:themeFill="accent1" w:themeFillTint="66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riziko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</w:p>
        </w:tc>
        <w:tc>
          <w:tcPr>
            <w:tcW w:w="560" w:type="dxa"/>
            <w:shd w:val="clear" w:color="auto" w:fill="B8CCE4" w:themeFill="accent1" w:themeFillTint="66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</w:p>
        </w:tc>
        <w:tc>
          <w:tcPr>
            <w:tcW w:w="716" w:type="dxa"/>
            <w:shd w:val="clear" w:color="auto" w:fill="B8CCE4" w:themeFill="accent1" w:themeFillTint="66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 (P*D)</w:t>
            </w:r>
          </w:p>
        </w:tc>
        <w:tc>
          <w:tcPr>
            <w:tcW w:w="3082" w:type="dxa"/>
            <w:shd w:val="clear" w:color="auto" w:fill="B8CCE4" w:themeFill="accent1" w:themeFillTint="66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opatření</w:t>
            </w:r>
          </w:p>
        </w:tc>
      </w:tr>
      <w:tr w:rsidR="00A15F23" w:rsidTr="00BB0BC2">
        <w:tc>
          <w:tcPr>
            <w:tcW w:w="861" w:type="dxa"/>
            <w:vMerge w:val="restart"/>
            <w:textDirection w:val="btLr"/>
            <w:vAlign w:val="center"/>
          </w:tcPr>
          <w:p w:rsidR="00A15F23" w:rsidRPr="0034192B" w:rsidRDefault="00A15F23" w:rsidP="00BB0BC2">
            <w:pPr>
              <w:pStyle w:val="Normlnweb"/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192B">
              <w:rPr>
                <w:b/>
                <w:sz w:val="20"/>
                <w:szCs w:val="20"/>
              </w:rPr>
              <w:t xml:space="preserve">finanční </w:t>
            </w: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Neschopnost/nemožnost čerpání dotací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Sledovat dotační možnosti, dobu pro předkládání žádostí, o dotaci, sledovat finanční udržitelnost projektů</w:t>
            </w:r>
          </w:p>
        </w:tc>
      </w:tr>
      <w:tr w:rsidR="00A15F23" w:rsidTr="00BB0BC2">
        <w:tc>
          <w:tcPr>
            <w:tcW w:w="861" w:type="dxa"/>
            <w:vMerge/>
            <w:vAlign w:val="center"/>
          </w:tcPr>
          <w:p w:rsidR="00A15F23" w:rsidRPr="0034192B" w:rsidRDefault="00A15F23" w:rsidP="00BB0BC2">
            <w:pPr>
              <w:pStyle w:val="Normlnweb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2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Nedostatek finančních prostředků města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Vázáno na hospodaření a plánování SMOl – sledovat hospodaření a plánování města a aktuálně reagovat</w:t>
            </w:r>
          </w:p>
        </w:tc>
      </w:tr>
      <w:tr w:rsidR="00A15F23" w:rsidTr="00BB0BC2">
        <w:trPr>
          <w:trHeight w:val="658"/>
        </w:trPr>
        <w:tc>
          <w:tcPr>
            <w:tcW w:w="861" w:type="dxa"/>
            <w:vMerge w:val="restart"/>
            <w:textDirection w:val="btLr"/>
            <w:vAlign w:val="center"/>
          </w:tcPr>
          <w:p w:rsidR="00A15F23" w:rsidRPr="0034192B" w:rsidRDefault="00A15F23" w:rsidP="00BB0BC2">
            <w:pPr>
              <w:pStyle w:val="Normlnweb"/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192B">
              <w:rPr>
                <w:b/>
                <w:sz w:val="20"/>
                <w:szCs w:val="20"/>
              </w:rPr>
              <w:t>organizační</w:t>
            </w: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3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vedení po volbách do obecních zastupitelstev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Dodržovat principy strategického a projektového řízení</w:t>
            </w:r>
          </w:p>
        </w:tc>
      </w:tr>
      <w:tr w:rsidR="00A15F23" w:rsidTr="00BB0BC2">
        <w:trPr>
          <w:trHeight w:val="568"/>
        </w:trPr>
        <w:tc>
          <w:tcPr>
            <w:tcW w:w="861" w:type="dxa"/>
            <w:vMerge/>
            <w:vAlign w:val="center"/>
          </w:tcPr>
          <w:p w:rsidR="00A15F23" w:rsidRPr="0034192B" w:rsidRDefault="00A15F23" w:rsidP="00BB0BC2">
            <w:pPr>
              <w:pStyle w:val="Normlnweb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4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organizační struktury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82" w:type="dxa"/>
            <w:vAlign w:val="center"/>
          </w:tcPr>
          <w:p w:rsidR="00A15F23" w:rsidRPr="0004552D" w:rsidRDefault="00A15F23" w:rsidP="00BB0BC2">
            <w:pPr>
              <w:pStyle w:val="Normlnweb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04552D">
              <w:rPr>
                <w:i/>
                <w:sz w:val="20"/>
                <w:szCs w:val="20"/>
              </w:rPr>
              <w:t>řijatelné riziko</w:t>
            </w:r>
          </w:p>
        </w:tc>
      </w:tr>
      <w:tr w:rsidR="00A15F23" w:rsidTr="00BB0BC2">
        <w:tc>
          <w:tcPr>
            <w:tcW w:w="861" w:type="dxa"/>
            <w:vMerge w:val="restart"/>
            <w:textDirection w:val="btLr"/>
            <w:vAlign w:val="center"/>
          </w:tcPr>
          <w:p w:rsidR="00A15F23" w:rsidRPr="0034192B" w:rsidRDefault="00A15F23" w:rsidP="00BB0BC2">
            <w:pPr>
              <w:pStyle w:val="Normlnweb"/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192B">
              <w:rPr>
                <w:b/>
                <w:sz w:val="20"/>
                <w:szCs w:val="20"/>
              </w:rPr>
              <w:t>technická</w:t>
            </w: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5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Nepřipravenost projektů k žádostem o dotace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Každoročně plánovat dle důležitosti zpracování dokumentací pro projekty</w:t>
            </w:r>
          </w:p>
        </w:tc>
      </w:tr>
      <w:tr w:rsidR="00A15F23" w:rsidTr="00BB0BC2">
        <w:tc>
          <w:tcPr>
            <w:tcW w:w="861" w:type="dxa"/>
            <w:vMerge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6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budov – nemožnost použití </w:t>
            </w:r>
            <w:r>
              <w:rPr>
                <w:sz w:val="20"/>
                <w:szCs w:val="20"/>
              </w:rPr>
              <w:lastRenderedPageBreak/>
              <w:t>moderních technologií (věk budov, technický stav…)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Prověřit stav a možnosti budov </w:t>
            </w:r>
            <w:r>
              <w:rPr>
                <w:sz w:val="20"/>
                <w:szCs w:val="20"/>
              </w:rPr>
              <w:lastRenderedPageBreak/>
              <w:t>škol, zajistit připravenost na projekty</w:t>
            </w:r>
          </w:p>
        </w:tc>
      </w:tr>
      <w:tr w:rsidR="00A15F23" w:rsidTr="00BB0BC2">
        <w:tc>
          <w:tcPr>
            <w:tcW w:w="861" w:type="dxa"/>
            <w:vMerge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7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Vybavenost škol IC technologiemi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Vyhledávání zdrojů k obměně vybavení škol notebooky, tablety, v dostatečném množství a dle aktuálních trendů vývoje IC technologií</w:t>
            </w:r>
            <w:r w:rsidR="001E3325">
              <w:rPr>
                <w:sz w:val="20"/>
                <w:szCs w:val="20"/>
              </w:rPr>
              <w:t>, konektivita škol</w:t>
            </w:r>
          </w:p>
        </w:tc>
      </w:tr>
      <w:tr w:rsidR="00A15F23" w:rsidTr="00BB0BC2">
        <w:tc>
          <w:tcPr>
            <w:tcW w:w="861" w:type="dxa"/>
            <w:vMerge w:val="restart"/>
            <w:textDirection w:val="btLr"/>
            <w:vAlign w:val="center"/>
          </w:tcPr>
          <w:p w:rsidR="00A15F23" w:rsidRPr="00AA71F9" w:rsidRDefault="00A15F23" w:rsidP="00BB0BC2">
            <w:pPr>
              <w:pStyle w:val="Normlnweb"/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71F9">
              <w:rPr>
                <w:b/>
                <w:sz w:val="20"/>
                <w:szCs w:val="20"/>
              </w:rPr>
              <w:t>věcná</w:t>
            </w: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9E20B0">
              <w:rPr>
                <w:sz w:val="20"/>
                <w:szCs w:val="20"/>
              </w:rPr>
              <w:t>8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Demografický vývoj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1E3325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Průběžně sledovat demografický vývoj, </w:t>
            </w:r>
            <w:r w:rsidR="001E3325">
              <w:rPr>
                <w:sz w:val="20"/>
                <w:szCs w:val="20"/>
              </w:rPr>
              <w:t>vyhodnocovat a</w:t>
            </w:r>
            <w:r>
              <w:rPr>
                <w:sz w:val="20"/>
                <w:szCs w:val="20"/>
              </w:rPr>
              <w:t xml:space="preserve"> přijímat opatření k zajištění kapacit MŠ a ZŠ</w:t>
            </w:r>
          </w:p>
        </w:tc>
      </w:tr>
      <w:tr w:rsidR="00A15F23" w:rsidTr="00BB0BC2">
        <w:tc>
          <w:tcPr>
            <w:tcW w:w="861" w:type="dxa"/>
            <w:vMerge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8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Náhlé klimatické události</w:t>
            </w:r>
          </w:p>
        </w:tc>
        <w:tc>
          <w:tcPr>
            <w:tcW w:w="567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0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vAlign w:val="center"/>
          </w:tcPr>
          <w:p w:rsidR="00A15F23" w:rsidRPr="009E20B0" w:rsidRDefault="00A15F23" w:rsidP="00BB0BC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82" w:type="dxa"/>
            <w:vAlign w:val="center"/>
          </w:tcPr>
          <w:p w:rsidR="00A15F23" w:rsidRPr="009E20B0" w:rsidRDefault="00A15F23" w:rsidP="001E3325">
            <w:pPr>
              <w:pStyle w:val="Normlnweb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Sledovat stav budov a staveb a včas odstraňovat </w:t>
            </w:r>
            <w:r w:rsidR="001E3325">
              <w:rPr>
                <w:sz w:val="20"/>
                <w:szCs w:val="20"/>
              </w:rPr>
              <w:t>následky klimatických změn, přijímat opatření ke snížení dopadu klimatických změn (proti vlně veder, sucha, intenzivním bouřkách atd.)</w:t>
            </w:r>
          </w:p>
        </w:tc>
      </w:tr>
    </w:tbl>
    <w:p w:rsidR="00A15F23" w:rsidRDefault="00A15F23" w:rsidP="00A15F23">
      <w:pPr>
        <w:pStyle w:val="Normlnweb"/>
        <w:spacing w:after="0"/>
        <w:jc w:val="both"/>
      </w:pPr>
    </w:p>
    <w:p w:rsidR="00A15F23" w:rsidRDefault="00A15F23" w:rsidP="00A15F23">
      <w:pPr>
        <w:pStyle w:val="Normlnweb"/>
        <w:spacing w:after="0"/>
        <w:jc w:val="both"/>
      </w:pPr>
      <w:r>
        <w:t>Identifikovaná rizika budou každoročně aktualizována s vazbou na roční vyhodnocování naplňování Koncepce rozvoje školství.</w:t>
      </w:r>
    </w:p>
    <w:p w:rsidR="00A15F23" w:rsidRDefault="00A15F23" w:rsidP="00A15F23">
      <w:pPr>
        <w:pStyle w:val="Normlnweb"/>
        <w:spacing w:after="0"/>
        <w:jc w:val="both"/>
      </w:pPr>
      <w:r>
        <w:t>Podle míry přijatelnosti rizika jsou přijímána opatření, která vedou k eliminaci rizika. Míra přijatelnosti je vyjádřena hodnotami na stupnici 0 – 10 a více.</w:t>
      </w:r>
    </w:p>
    <w:p w:rsidR="00A15F23" w:rsidRDefault="00A15F23" w:rsidP="00A15F23">
      <w:pPr>
        <w:pStyle w:val="Normlnweb"/>
        <w:spacing w:after="0"/>
        <w:jc w:val="both"/>
      </w:pPr>
      <w:r>
        <w:t xml:space="preserve">V případě </w:t>
      </w:r>
      <w:r w:rsidRPr="00F06061">
        <w:rPr>
          <w:b/>
        </w:rPr>
        <w:t>přijatelného rizika</w:t>
      </w:r>
      <w:r>
        <w:t xml:space="preserve"> nejsou přijímaná žádná opatření, u </w:t>
      </w:r>
      <w:r w:rsidRPr="00F06061">
        <w:rPr>
          <w:b/>
        </w:rPr>
        <w:t>podmínečně přijatelného</w:t>
      </w:r>
      <w:r>
        <w:t xml:space="preserve"> </w:t>
      </w:r>
      <w:r w:rsidRPr="00F06061">
        <w:rPr>
          <w:b/>
        </w:rPr>
        <w:t>rizika</w:t>
      </w:r>
      <w:r>
        <w:t xml:space="preserve"> jsou již v dlouhodobém horizontu plánovaná a realizovaná opatření, která míru rizika eliminují a sníží na úroveň přijatelného rizika. Jestliže nastane </w:t>
      </w:r>
      <w:r w:rsidRPr="00F06061">
        <w:rPr>
          <w:b/>
        </w:rPr>
        <w:t>nepřijatelné riziko</w:t>
      </w:r>
      <w:r>
        <w:t>, ihned musí být přij</w:t>
      </w:r>
      <w:r w:rsidR="001E3325">
        <w:t xml:space="preserve">ata patřičná, účinná opatření. </w:t>
      </w:r>
    </w:p>
    <w:p w:rsidR="00A15F23" w:rsidRPr="00A36350" w:rsidRDefault="00A15F23" w:rsidP="00A15F23">
      <w:pPr>
        <w:pStyle w:val="Normlnweb"/>
        <w:spacing w:after="0" w:line="240" w:lineRule="auto"/>
        <w:jc w:val="both"/>
        <w:rPr>
          <w:sz w:val="16"/>
          <w:szCs w:val="16"/>
        </w:rPr>
      </w:pPr>
    </w:p>
    <w:p w:rsidR="00A15F23" w:rsidRDefault="00A15F23" w:rsidP="00A15F23">
      <w:pPr>
        <w:pStyle w:val="Normlnweb"/>
        <w:spacing w:after="0" w:line="240" w:lineRule="auto"/>
        <w:jc w:val="both"/>
        <w:rPr>
          <w:i/>
        </w:rPr>
      </w:pPr>
      <w:r w:rsidRPr="00F06061">
        <w:rPr>
          <w:i/>
        </w:rPr>
        <w:t>Přijatelnost rizik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15F23" w:rsidRPr="00F06061" w:rsidTr="001E3325">
        <w:tc>
          <w:tcPr>
            <w:tcW w:w="4605" w:type="dxa"/>
            <w:shd w:val="clear" w:color="auto" w:fill="B8CCE4" w:themeFill="accent1" w:themeFillTint="66"/>
          </w:tcPr>
          <w:p w:rsidR="00A15F23" w:rsidRPr="00F06061" w:rsidRDefault="00A15F23" w:rsidP="00BB0BC2">
            <w:pPr>
              <w:pStyle w:val="Normlnweb"/>
              <w:spacing w:after="0"/>
              <w:jc w:val="center"/>
              <w:rPr>
                <w:i/>
              </w:rPr>
            </w:pPr>
            <w:r w:rsidRPr="00F06061">
              <w:rPr>
                <w:i/>
              </w:rPr>
              <w:t>kategorie přijatelnosti rizika</w:t>
            </w:r>
          </w:p>
        </w:tc>
        <w:tc>
          <w:tcPr>
            <w:tcW w:w="4605" w:type="dxa"/>
            <w:shd w:val="clear" w:color="auto" w:fill="B8CCE4" w:themeFill="accent1" w:themeFillTint="66"/>
          </w:tcPr>
          <w:p w:rsidR="00A15F23" w:rsidRPr="00F06061" w:rsidRDefault="00A15F23" w:rsidP="00BB0BC2">
            <w:pPr>
              <w:pStyle w:val="Normlnweb"/>
              <w:spacing w:after="0"/>
              <w:jc w:val="center"/>
              <w:rPr>
                <w:i/>
              </w:rPr>
            </w:pPr>
            <w:r w:rsidRPr="00F06061">
              <w:rPr>
                <w:i/>
              </w:rPr>
              <w:t>r</w:t>
            </w:r>
            <w:r>
              <w:rPr>
                <w:i/>
              </w:rPr>
              <w:t>o</w:t>
            </w:r>
            <w:r w:rsidRPr="00F06061">
              <w:rPr>
                <w:i/>
              </w:rPr>
              <w:t>zpětí hodnoty významnosti rizika</w:t>
            </w:r>
          </w:p>
        </w:tc>
      </w:tr>
      <w:tr w:rsidR="00A15F23" w:rsidTr="00BB0BC2">
        <w:tc>
          <w:tcPr>
            <w:tcW w:w="4605" w:type="dxa"/>
          </w:tcPr>
          <w:p w:rsidR="00A15F23" w:rsidRDefault="00A15F23" w:rsidP="00BB0BC2">
            <w:pPr>
              <w:pStyle w:val="Normlnweb"/>
              <w:spacing w:after="0"/>
              <w:jc w:val="both"/>
            </w:pPr>
            <w:r>
              <w:t>Nepřijatelné riziko</w:t>
            </w:r>
          </w:p>
        </w:tc>
        <w:tc>
          <w:tcPr>
            <w:tcW w:w="4605" w:type="dxa"/>
          </w:tcPr>
          <w:p w:rsidR="00A15F23" w:rsidRDefault="00A15F23" w:rsidP="00BB0BC2">
            <w:pPr>
              <w:pStyle w:val="Normlnweb"/>
              <w:spacing w:after="0"/>
              <w:jc w:val="center"/>
            </w:pPr>
            <w:r>
              <w:t>10 a více</w:t>
            </w:r>
          </w:p>
        </w:tc>
      </w:tr>
      <w:tr w:rsidR="00A15F23" w:rsidTr="00BB0BC2">
        <w:tc>
          <w:tcPr>
            <w:tcW w:w="4605" w:type="dxa"/>
          </w:tcPr>
          <w:p w:rsidR="00A15F23" w:rsidRDefault="00A15F23" w:rsidP="00BB0BC2">
            <w:pPr>
              <w:pStyle w:val="Normlnweb"/>
              <w:spacing w:after="0"/>
              <w:jc w:val="both"/>
            </w:pPr>
            <w:r>
              <w:t>Podmínečně přijatelné riziko</w:t>
            </w:r>
          </w:p>
        </w:tc>
        <w:tc>
          <w:tcPr>
            <w:tcW w:w="4605" w:type="dxa"/>
          </w:tcPr>
          <w:p w:rsidR="00A15F23" w:rsidRDefault="00A15F23" w:rsidP="00BB0BC2">
            <w:pPr>
              <w:pStyle w:val="Normlnweb"/>
              <w:spacing w:after="0"/>
              <w:jc w:val="center"/>
            </w:pPr>
            <w:r>
              <w:t>5 - 9</w:t>
            </w:r>
          </w:p>
        </w:tc>
      </w:tr>
      <w:tr w:rsidR="00A15F23" w:rsidTr="00BB0BC2">
        <w:tc>
          <w:tcPr>
            <w:tcW w:w="4605" w:type="dxa"/>
          </w:tcPr>
          <w:p w:rsidR="00A15F23" w:rsidRDefault="00A15F23" w:rsidP="00BB0BC2">
            <w:pPr>
              <w:pStyle w:val="Normlnweb"/>
              <w:spacing w:after="0"/>
              <w:jc w:val="both"/>
            </w:pPr>
            <w:r>
              <w:t>Přijatelné riziko</w:t>
            </w:r>
          </w:p>
        </w:tc>
        <w:tc>
          <w:tcPr>
            <w:tcW w:w="4605" w:type="dxa"/>
          </w:tcPr>
          <w:p w:rsidR="00A15F23" w:rsidRDefault="00A15F23" w:rsidP="00BB0BC2">
            <w:pPr>
              <w:pStyle w:val="Normlnweb"/>
              <w:spacing w:after="0"/>
              <w:jc w:val="center"/>
            </w:pPr>
            <w:r>
              <w:t>0 - 4</w:t>
            </w:r>
          </w:p>
        </w:tc>
      </w:tr>
    </w:tbl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F23" w:rsidRDefault="00A15F23" w:rsidP="00A15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BC4" w:rsidRDefault="00450BC4"/>
    <w:sectPr w:rsidR="00450BC4" w:rsidSect="00BB0BC2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61" w:rsidRDefault="005C7361" w:rsidP="00A15F23">
      <w:pPr>
        <w:spacing w:after="0" w:line="240" w:lineRule="auto"/>
      </w:pPr>
      <w:r>
        <w:separator/>
      </w:r>
    </w:p>
  </w:endnote>
  <w:endnote w:type="continuationSeparator" w:id="0">
    <w:p w:rsidR="005C7361" w:rsidRDefault="005C7361" w:rsidP="00A1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917426"/>
      <w:docPartObj>
        <w:docPartGallery w:val="Page Numbers (Bottom of Page)"/>
        <w:docPartUnique/>
      </w:docPartObj>
    </w:sdtPr>
    <w:sdtEndPr/>
    <w:sdtContent>
      <w:p w:rsidR="00305BC0" w:rsidRDefault="00305B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389">
          <w:rPr>
            <w:noProof/>
          </w:rPr>
          <w:t>2</w:t>
        </w:r>
        <w:r>
          <w:fldChar w:fldCharType="end"/>
        </w:r>
      </w:p>
    </w:sdtContent>
  </w:sdt>
  <w:p w:rsidR="00305BC0" w:rsidRDefault="00305B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61" w:rsidRDefault="005C7361" w:rsidP="00A15F23">
      <w:pPr>
        <w:spacing w:after="0" w:line="240" w:lineRule="auto"/>
      </w:pPr>
      <w:r>
        <w:separator/>
      </w:r>
    </w:p>
  </w:footnote>
  <w:footnote w:type="continuationSeparator" w:id="0">
    <w:p w:rsidR="005C7361" w:rsidRDefault="005C7361" w:rsidP="00A15F23">
      <w:pPr>
        <w:spacing w:after="0" w:line="240" w:lineRule="auto"/>
      </w:pPr>
      <w:r>
        <w:continuationSeparator/>
      </w:r>
    </w:p>
  </w:footnote>
  <w:footnote w:id="1">
    <w:p w:rsidR="00305BC0" w:rsidRPr="00C42B45" w:rsidRDefault="00305BC0" w:rsidP="00A15F23">
      <w:pPr>
        <w:pStyle w:val="Textpoznpodarou"/>
        <w:rPr>
          <w:rFonts w:ascii="Times New Roman" w:hAnsi="Times New Roman"/>
        </w:rPr>
      </w:pPr>
      <w:r w:rsidRPr="00C42B45">
        <w:rPr>
          <w:rStyle w:val="Znakapoznpodarou"/>
          <w:rFonts w:ascii="Times New Roman" w:hAnsi="Times New Roman"/>
        </w:rPr>
        <w:footnoteRef/>
      </w:r>
      <w:r w:rsidRPr="00C42B45">
        <w:rPr>
          <w:rFonts w:ascii="Times New Roman" w:hAnsi="Times New Roman"/>
        </w:rPr>
        <w:t xml:space="preserve"> Viz. </w:t>
      </w:r>
      <w:hyperlink r:id="rId1" w:history="1">
        <w:r w:rsidRPr="008E7F1B">
          <w:rPr>
            <w:rStyle w:val="Hypertextovodkaz"/>
            <w:rFonts w:ascii="Times New Roman" w:hAnsi="Times New Roman"/>
          </w:rPr>
          <w:t>https://mmr.gov.cz/cs/microsites/portal-strategicke-prace-v-ceske-republice/nastroje-a-metodicka-podpora/metodika-pripravy-verejnych-strategii/metodika</w:t>
        </w:r>
      </w:hyperlink>
      <w:r>
        <w:rPr>
          <w:rFonts w:ascii="Times New Roman" w:hAnsi="Times New Roman"/>
        </w:rPr>
        <w:t xml:space="preserve"> 22.10.2025</w:t>
      </w:r>
    </w:p>
  </w:footnote>
  <w:footnote w:id="2">
    <w:p w:rsidR="00305BC0" w:rsidRPr="00F06061" w:rsidRDefault="00305BC0" w:rsidP="00A15F23">
      <w:pPr>
        <w:pStyle w:val="Textpoznpodarou"/>
        <w:rPr>
          <w:rFonts w:ascii="Times New Roman" w:hAnsi="Times New Roman"/>
        </w:rPr>
      </w:pPr>
      <w:r w:rsidRPr="00F06061">
        <w:rPr>
          <w:rStyle w:val="Znakapoznpodarou"/>
          <w:rFonts w:ascii="Times New Roman" w:hAnsi="Times New Roman"/>
        </w:rPr>
        <w:footnoteRef/>
      </w:r>
      <w:r w:rsidRPr="00F06061">
        <w:rPr>
          <w:rFonts w:ascii="Times New Roman" w:hAnsi="Times New Roman"/>
        </w:rPr>
        <w:t xml:space="preserve"> Viz. Strategický plán rozvoje města Olomouce, Implementační část, leden 2018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C0" w:rsidRPr="00B636C8" w:rsidRDefault="00305BC0" w:rsidP="009D5EF2">
    <w:pPr>
      <w:pStyle w:val="Zhlav"/>
      <w:ind w:left="1560"/>
      <w:rPr>
        <w:rFonts w:asciiTheme="majorHAnsi" w:hAnsiTheme="majorHAnsi"/>
      </w:rPr>
    </w:pPr>
    <w:r w:rsidRPr="00B636C8">
      <w:rPr>
        <w:rFonts w:asciiTheme="majorHAnsi" w:hAnsiTheme="majorHAnsi"/>
        <w:noProof/>
        <w:lang w:eastAsia="cs-CZ"/>
      </w:rPr>
      <w:drawing>
        <wp:anchor distT="0" distB="0" distL="114300" distR="114300" simplePos="0" relativeHeight="251659264" behindDoc="1" locked="0" layoutInCell="1" allowOverlap="1" wp14:anchorId="4D1E1BEF" wp14:editId="17228BB9">
          <wp:simplePos x="0" y="0"/>
          <wp:positionH relativeFrom="column">
            <wp:posOffset>119380</wp:posOffset>
          </wp:positionH>
          <wp:positionV relativeFrom="paragraph">
            <wp:posOffset>-106680</wp:posOffset>
          </wp:positionV>
          <wp:extent cx="790575" cy="359410"/>
          <wp:effectExtent l="0" t="0" r="9525" b="2540"/>
          <wp:wrapTight wrapText="bothSides">
            <wp:wrapPolygon edited="0">
              <wp:start x="0" y="0"/>
              <wp:lineTo x="0" y="20608"/>
              <wp:lineTo x="21340" y="20608"/>
              <wp:lineTo x="21340" y="0"/>
              <wp:lineTo x="0" y="0"/>
            </wp:wrapPolygon>
          </wp:wrapTight>
          <wp:docPr id="25" name="Obrázek 25" descr="OLOMOU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OMOU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6C8">
      <w:rPr>
        <w:rFonts w:asciiTheme="majorHAnsi" w:hAnsiTheme="majorHAnsi"/>
        <w:noProof/>
        <w:lang w:eastAsia="cs-CZ"/>
      </w:rPr>
      <w:t>Koncepce rozvoje školství statutárního města Olomouce na období 2026 - 2030</w:t>
    </w:r>
  </w:p>
  <w:p w:rsidR="00305BC0" w:rsidRDefault="00305B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8E1"/>
    <w:multiLevelType w:val="hybridMultilevel"/>
    <w:tmpl w:val="DD0EF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C69CA"/>
    <w:multiLevelType w:val="hybridMultilevel"/>
    <w:tmpl w:val="2D52EB10"/>
    <w:lvl w:ilvl="0" w:tplc="B9DEF3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E35DC"/>
    <w:multiLevelType w:val="multilevel"/>
    <w:tmpl w:val="14EE451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7B523E40"/>
    <w:multiLevelType w:val="multilevel"/>
    <w:tmpl w:val="875075A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695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  <w:rPr>
        <w:b/>
        <w:color w:val="4F81BD" w:themeColor="accent1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23"/>
    <w:rsid w:val="00017406"/>
    <w:rsid w:val="00072012"/>
    <w:rsid w:val="00090CC4"/>
    <w:rsid w:val="000D1897"/>
    <w:rsid w:val="000D259D"/>
    <w:rsid w:val="000E2389"/>
    <w:rsid w:val="000F22C5"/>
    <w:rsid w:val="00144DAE"/>
    <w:rsid w:val="00152067"/>
    <w:rsid w:val="001B62CB"/>
    <w:rsid w:val="001E3325"/>
    <w:rsid w:val="00205B61"/>
    <w:rsid w:val="0021349A"/>
    <w:rsid w:val="0024613D"/>
    <w:rsid w:val="00287A71"/>
    <w:rsid w:val="00294CDC"/>
    <w:rsid w:val="0029714D"/>
    <w:rsid w:val="002E7D91"/>
    <w:rsid w:val="00305BC0"/>
    <w:rsid w:val="00347DC5"/>
    <w:rsid w:val="00415C03"/>
    <w:rsid w:val="004465B8"/>
    <w:rsid w:val="00450BC4"/>
    <w:rsid w:val="004C3D82"/>
    <w:rsid w:val="00517A7E"/>
    <w:rsid w:val="00565344"/>
    <w:rsid w:val="005C7361"/>
    <w:rsid w:val="005D34C7"/>
    <w:rsid w:val="00677AA9"/>
    <w:rsid w:val="006B28F8"/>
    <w:rsid w:val="006B4382"/>
    <w:rsid w:val="00772B76"/>
    <w:rsid w:val="007730A8"/>
    <w:rsid w:val="007A68AB"/>
    <w:rsid w:val="00867F50"/>
    <w:rsid w:val="00902781"/>
    <w:rsid w:val="00942F7F"/>
    <w:rsid w:val="009C011E"/>
    <w:rsid w:val="009D5EF2"/>
    <w:rsid w:val="00A15F23"/>
    <w:rsid w:val="00A40384"/>
    <w:rsid w:val="00A456B1"/>
    <w:rsid w:val="00A64DA9"/>
    <w:rsid w:val="00AF48C0"/>
    <w:rsid w:val="00B668DF"/>
    <w:rsid w:val="00BB0BC2"/>
    <w:rsid w:val="00C41224"/>
    <w:rsid w:val="00C82438"/>
    <w:rsid w:val="00D377F9"/>
    <w:rsid w:val="00DC0C8C"/>
    <w:rsid w:val="00FD44D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F23"/>
  </w:style>
  <w:style w:type="paragraph" w:styleId="Nadpis1">
    <w:name w:val="heading 1"/>
    <w:basedOn w:val="Normln"/>
    <w:next w:val="Normln"/>
    <w:link w:val="Nadpis1Char"/>
    <w:uiPriority w:val="99"/>
    <w:qFormat/>
    <w:rsid w:val="00A15F2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A15F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A15F23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A15F23"/>
    <w:pPr>
      <w:keepNext/>
      <w:keepLines/>
      <w:numPr>
        <w:ilvl w:val="3"/>
        <w:numId w:val="1"/>
      </w:numPr>
      <w:spacing w:before="200" w:after="0"/>
      <w:ind w:left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A15F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A15F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A15F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A15F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A15F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15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1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A15F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9"/>
    <w:rsid w:val="00A15F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9"/>
    <w:rsid w:val="00A15F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9"/>
    <w:rsid w:val="00A15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rsid w:val="00A15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rsid w:val="00A15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A15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A1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 1,Název grafu,MůjNadpis_1"/>
    <w:basedOn w:val="Normln"/>
    <w:link w:val="OdstavecseseznamemChar"/>
    <w:uiPriority w:val="99"/>
    <w:qFormat/>
    <w:rsid w:val="00A15F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A15F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5F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5F2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15F23"/>
    <w:rPr>
      <w:color w:val="0000FF" w:themeColor="hyperlink"/>
      <w:u w:val="single"/>
    </w:rPr>
  </w:style>
  <w:style w:type="table" w:styleId="Mkatabulky">
    <w:name w:val="Table Grid"/>
    <w:basedOn w:val="Normlntabulka"/>
    <w:uiPriority w:val="99"/>
    <w:rsid w:val="00A1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15F23"/>
    <w:rPr>
      <w:b/>
      <w:bCs/>
    </w:rPr>
  </w:style>
  <w:style w:type="paragraph" w:styleId="Normlnweb">
    <w:name w:val="Normal (Web)"/>
    <w:basedOn w:val="Normln"/>
    <w:uiPriority w:val="99"/>
    <w:unhideWhenUsed/>
    <w:rsid w:val="00A15F23"/>
    <w:pPr>
      <w:spacing w:after="135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MůjNadpis_1 Char"/>
    <w:link w:val="Odstavecseseznamem"/>
    <w:uiPriority w:val="99"/>
    <w:locked/>
    <w:rsid w:val="00A15F23"/>
  </w:style>
  <w:style w:type="paragraph" w:customStyle="1" w:styleId="txt">
    <w:name w:val="txt"/>
    <w:basedOn w:val="Normln"/>
    <w:uiPriority w:val="99"/>
    <w:rsid w:val="00A15F23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4D1"/>
  </w:style>
  <w:style w:type="paragraph" w:styleId="Zpat">
    <w:name w:val="footer"/>
    <w:basedOn w:val="Normln"/>
    <w:link w:val="ZpatChar"/>
    <w:uiPriority w:val="99"/>
    <w:unhideWhenUsed/>
    <w:rsid w:val="00FD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4D1"/>
  </w:style>
  <w:style w:type="character" w:styleId="Sledovanodkaz">
    <w:name w:val="FollowedHyperlink"/>
    <w:basedOn w:val="Standardnpsmoodstavce"/>
    <w:uiPriority w:val="99"/>
    <w:semiHidden/>
    <w:unhideWhenUsed/>
    <w:rsid w:val="00C824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F23"/>
  </w:style>
  <w:style w:type="paragraph" w:styleId="Nadpis1">
    <w:name w:val="heading 1"/>
    <w:basedOn w:val="Normln"/>
    <w:next w:val="Normln"/>
    <w:link w:val="Nadpis1Char"/>
    <w:uiPriority w:val="99"/>
    <w:qFormat/>
    <w:rsid w:val="00A15F2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A15F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A15F23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A15F23"/>
    <w:pPr>
      <w:keepNext/>
      <w:keepLines/>
      <w:numPr>
        <w:ilvl w:val="3"/>
        <w:numId w:val="1"/>
      </w:numPr>
      <w:spacing w:before="200" w:after="0"/>
      <w:ind w:left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A15F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A15F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A15F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A15F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A15F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15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1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A15F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9"/>
    <w:rsid w:val="00A15F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9"/>
    <w:rsid w:val="00A15F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9"/>
    <w:rsid w:val="00A15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rsid w:val="00A15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rsid w:val="00A15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A15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A1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 1,Název grafu,MůjNadpis_1"/>
    <w:basedOn w:val="Normln"/>
    <w:link w:val="OdstavecseseznamemChar"/>
    <w:uiPriority w:val="99"/>
    <w:qFormat/>
    <w:rsid w:val="00A15F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A15F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5F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5F2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15F23"/>
    <w:rPr>
      <w:color w:val="0000FF" w:themeColor="hyperlink"/>
      <w:u w:val="single"/>
    </w:rPr>
  </w:style>
  <w:style w:type="table" w:styleId="Mkatabulky">
    <w:name w:val="Table Grid"/>
    <w:basedOn w:val="Normlntabulka"/>
    <w:uiPriority w:val="99"/>
    <w:rsid w:val="00A1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15F23"/>
    <w:rPr>
      <w:b/>
      <w:bCs/>
    </w:rPr>
  </w:style>
  <w:style w:type="paragraph" w:styleId="Normlnweb">
    <w:name w:val="Normal (Web)"/>
    <w:basedOn w:val="Normln"/>
    <w:uiPriority w:val="99"/>
    <w:unhideWhenUsed/>
    <w:rsid w:val="00A15F23"/>
    <w:pPr>
      <w:spacing w:after="135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MůjNadpis_1 Char"/>
    <w:link w:val="Odstavecseseznamem"/>
    <w:uiPriority w:val="99"/>
    <w:locked/>
    <w:rsid w:val="00A15F23"/>
  </w:style>
  <w:style w:type="paragraph" w:customStyle="1" w:styleId="txt">
    <w:name w:val="txt"/>
    <w:basedOn w:val="Normln"/>
    <w:uiPriority w:val="99"/>
    <w:rsid w:val="00A15F23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4D1"/>
  </w:style>
  <w:style w:type="paragraph" w:styleId="Zpat">
    <w:name w:val="footer"/>
    <w:basedOn w:val="Normln"/>
    <w:link w:val="ZpatChar"/>
    <w:uiPriority w:val="99"/>
    <w:unhideWhenUsed/>
    <w:rsid w:val="00FD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4D1"/>
  </w:style>
  <w:style w:type="character" w:styleId="Sledovanodkaz">
    <w:name w:val="FollowedHyperlink"/>
    <w:basedOn w:val="Standardnpsmoodstavce"/>
    <w:uiPriority w:val="99"/>
    <w:semiHidden/>
    <w:unhideWhenUsed/>
    <w:rsid w:val="00C824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mentmania.com/cs/turbulen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/cs/microsites/portal-strategicke-prace-v-ceske-republice/nastroje-a-metodicka-podpora/metodika-pripravy-verejnych-strategii/metodi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3173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Jaroslava</dc:creator>
  <cp:lastModifiedBy>Fantová Hana</cp:lastModifiedBy>
  <cp:revision>2</cp:revision>
  <dcterms:created xsi:type="dcterms:W3CDTF">2025-11-26T13:35:00Z</dcterms:created>
  <dcterms:modified xsi:type="dcterms:W3CDTF">2025-11-26T13:35:00Z</dcterms:modified>
</cp:coreProperties>
</file>